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A7" w:rsidRPr="005929FA" w:rsidRDefault="007E1C09" w:rsidP="007E1C09">
      <w:pPr>
        <w:jc w:val="center"/>
        <w:rPr>
          <w:sz w:val="24"/>
          <w:szCs w:val="24"/>
          <w:lang w:val="en-JM"/>
        </w:rPr>
      </w:pPr>
      <w:r>
        <w:rPr>
          <w:b/>
          <w:noProof/>
        </w:rPr>
        <w:drawing>
          <wp:inline distT="0" distB="0" distL="0" distR="0" wp14:anchorId="0B5EF875" wp14:editId="556E65A9">
            <wp:extent cx="417639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6395" cy="920750"/>
                    </a:xfrm>
                    <a:prstGeom prst="rect">
                      <a:avLst/>
                    </a:prstGeom>
                    <a:noFill/>
                  </pic:spPr>
                </pic:pic>
              </a:graphicData>
            </a:graphic>
          </wp:inline>
        </w:drawing>
      </w:r>
    </w:p>
    <w:p w:rsidR="007E1C09" w:rsidRDefault="007E1C09" w:rsidP="00652ACC">
      <w:pPr>
        <w:jc w:val="center"/>
        <w:rPr>
          <w:b/>
          <w:sz w:val="24"/>
          <w:szCs w:val="24"/>
          <w:lang w:val="en-JM"/>
        </w:rPr>
      </w:pPr>
    </w:p>
    <w:p w:rsidR="0020049E" w:rsidRPr="00AF7790" w:rsidRDefault="0020049E" w:rsidP="00652ACC">
      <w:pPr>
        <w:jc w:val="center"/>
        <w:rPr>
          <w:b/>
          <w:sz w:val="28"/>
          <w:szCs w:val="28"/>
          <w:lang w:val="en-JM"/>
        </w:rPr>
      </w:pPr>
      <w:r w:rsidRPr="00AF7790">
        <w:rPr>
          <w:b/>
          <w:sz w:val="28"/>
          <w:szCs w:val="28"/>
          <w:lang w:val="en-JM"/>
        </w:rPr>
        <w:t xml:space="preserve">FOR IMMEDIATE RELEASE </w:t>
      </w:r>
    </w:p>
    <w:p w:rsidR="00313B4B" w:rsidRDefault="00313B4B" w:rsidP="00652ACC">
      <w:pPr>
        <w:jc w:val="center"/>
        <w:rPr>
          <w:b/>
          <w:sz w:val="28"/>
          <w:szCs w:val="28"/>
          <w:lang w:val="en-JM"/>
        </w:rPr>
      </w:pPr>
    </w:p>
    <w:p w:rsidR="003D1CA7" w:rsidRPr="007160A5" w:rsidRDefault="00621C40" w:rsidP="001E5093">
      <w:pPr>
        <w:jc w:val="center"/>
        <w:rPr>
          <w:b/>
          <w:sz w:val="32"/>
          <w:szCs w:val="28"/>
          <w:lang w:val="en-JM"/>
        </w:rPr>
      </w:pPr>
      <w:r>
        <w:rPr>
          <w:b/>
          <w:sz w:val="32"/>
          <w:szCs w:val="28"/>
          <w:lang w:val="en-JM"/>
        </w:rPr>
        <w:t>Flow and Digicel</w:t>
      </w:r>
      <w:r w:rsidR="00812089">
        <w:rPr>
          <w:b/>
          <w:sz w:val="32"/>
          <w:szCs w:val="28"/>
          <w:lang w:val="en-JM"/>
        </w:rPr>
        <w:t xml:space="preserve"> </w:t>
      </w:r>
      <w:r>
        <w:rPr>
          <w:b/>
          <w:sz w:val="32"/>
          <w:szCs w:val="28"/>
          <w:lang w:val="en-JM"/>
        </w:rPr>
        <w:t xml:space="preserve">to </w:t>
      </w:r>
      <w:r w:rsidR="00812089">
        <w:rPr>
          <w:b/>
          <w:sz w:val="32"/>
          <w:szCs w:val="28"/>
          <w:lang w:val="en-JM"/>
        </w:rPr>
        <w:t xml:space="preserve">Implement </w:t>
      </w:r>
      <w:r w:rsidR="00ED57CD">
        <w:rPr>
          <w:b/>
          <w:sz w:val="32"/>
          <w:szCs w:val="28"/>
          <w:lang w:val="en-JM"/>
        </w:rPr>
        <w:t xml:space="preserve">First </w:t>
      </w:r>
      <w:r w:rsidR="00812089">
        <w:rPr>
          <w:b/>
          <w:sz w:val="32"/>
          <w:szCs w:val="28"/>
          <w:lang w:val="en-JM"/>
        </w:rPr>
        <w:t xml:space="preserve">Phase of Information Transparency </w:t>
      </w:r>
      <w:r w:rsidR="00902409">
        <w:rPr>
          <w:b/>
          <w:sz w:val="32"/>
          <w:szCs w:val="28"/>
          <w:lang w:val="en-JM"/>
        </w:rPr>
        <w:t>Decisions</w:t>
      </w:r>
    </w:p>
    <w:p w:rsidR="00534948" w:rsidRPr="002914B2" w:rsidRDefault="00534948" w:rsidP="003D1CA7">
      <w:pPr>
        <w:rPr>
          <w:b/>
          <w:sz w:val="23"/>
          <w:szCs w:val="23"/>
          <w:lang w:val="en-JM"/>
        </w:rPr>
      </w:pPr>
    </w:p>
    <w:p w:rsidR="001E5093" w:rsidRPr="002914B2" w:rsidRDefault="00534948" w:rsidP="00736B33">
      <w:pPr>
        <w:jc w:val="both"/>
        <w:rPr>
          <w:sz w:val="23"/>
          <w:szCs w:val="23"/>
          <w:lang w:val="en-JM"/>
        </w:rPr>
      </w:pPr>
      <w:r w:rsidRPr="002914B2">
        <w:rPr>
          <w:b/>
          <w:sz w:val="23"/>
          <w:szCs w:val="23"/>
          <w:lang w:val="en-JM"/>
        </w:rPr>
        <w:t xml:space="preserve">(KINGSTON, Jamaica; 2020 </w:t>
      </w:r>
      <w:r w:rsidR="00015668" w:rsidRPr="002914B2">
        <w:rPr>
          <w:b/>
          <w:sz w:val="23"/>
          <w:szCs w:val="23"/>
          <w:lang w:val="en-JM"/>
        </w:rPr>
        <w:t>Octob</w:t>
      </w:r>
      <w:r w:rsidR="00F5449D" w:rsidRPr="002914B2">
        <w:rPr>
          <w:b/>
          <w:sz w:val="23"/>
          <w:szCs w:val="23"/>
          <w:lang w:val="en-JM"/>
        </w:rPr>
        <w:t xml:space="preserve">er </w:t>
      </w:r>
      <w:r w:rsidR="00481605" w:rsidRPr="002914B2">
        <w:rPr>
          <w:b/>
          <w:sz w:val="23"/>
          <w:szCs w:val="23"/>
          <w:lang w:val="en-JM"/>
        </w:rPr>
        <w:t>16</w:t>
      </w:r>
      <w:r w:rsidRPr="002914B2">
        <w:rPr>
          <w:b/>
          <w:sz w:val="23"/>
          <w:szCs w:val="23"/>
          <w:lang w:val="en-JM"/>
        </w:rPr>
        <w:t>):</w:t>
      </w:r>
      <w:r w:rsidRPr="002914B2">
        <w:rPr>
          <w:sz w:val="23"/>
          <w:szCs w:val="23"/>
          <w:lang w:val="en-JM"/>
        </w:rPr>
        <w:t xml:space="preserve"> </w:t>
      </w:r>
      <w:r w:rsidR="00621C40" w:rsidRPr="002914B2">
        <w:rPr>
          <w:sz w:val="23"/>
          <w:szCs w:val="23"/>
          <w:lang w:val="en-JM"/>
        </w:rPr>
        <w:t xml:space="preserve">Come </w:t>
      </w:r>
      <w:r w:rsidR="001E5093" w:rsidRPr="002914B2">
        <w:rPr>
          <w:sz w:val="23"/>
          <w:szCs w:val="23"/>
          <w:lang w:val="en-JM"/>
        </w:rPr>
        <w:t xml:space="preserve">2020 October 18, mobile phone users </w:t>
      </w:r>
      <w:r w:rsidR="00DB77D2" w:rsidRPr="002914B2">
        <w:rPr>
          <w:sz w:val="23"/>
          <w:szCs w:val="23"/>
          <w:lang w:val="en-JM"/>
        </w:rPr>
        <w:t xml:space="preserve">are to </w:t>
      </w:r>
      <w:r w:rsidR="001E5093" w:rsidRPr="002914B2">
        <w:rPr>
          <w:sz w:val="23"/>
          <w:szCs w:val="23"/>
          <w:lang w:val="en-JM"/>
        </w:rPr>
        <w:t>start receiving automated alerts on their usage</w:t>
      </w:r>
      <w:r w:rsidR="00567186" w:rsidRPr="002914B2">
        <w:rPr>
          <w:sz w:val="23"/>
          <w:szCs w:val="23"/>
          <w:lang w:val="en-JM"/>
        </w:rPr>
        <w:t xml:space="preserve"> level</w:t>
      </w:r>
      <w:r w:rsidR="00910CD2" w:rsidRPr="002914B2">
        <w:rPr>
          <w:sz w:val="23"/>
          <w:szCs w:val="23"/>
          <w:lang w:val="en-JM"/>
        </w:rPr>
        <w:t>s</w:t>
      </w:r>
      <w:r w:rsidR="003B2FFA" w:rsidRPr="002914B2">
        <w:rPr>
          <w:sz w:val="23"/>
          <w:szCs w:val="23"/>
          <w:lang w:val="en-JM"/>
        </w:rPr>
        <w:t xml:space="preserve"> from telecoms providers Digicel and FLOW</w:t>
      </w:r>
      <w:r w:rsidR="001E5093" w:rsidRPr="002914B2">
        <w:rPr>
          <w:sz w:val="23"/>
          <w:szCs w:val="23"/>
          <w:lang w:val="en-JM"/>
        </w:rPr>
        <w:t xml:space="preserve">. Additionally, all </w:t>
      </w:r>
      <w:r w:rsidR="00E23521" w:rsidRPr="002914B2">
        <w:rPr>
          <w:sz w:val="23"/>
          <w:szCs w:val="23"/>
          <w:lang w:val="en-JM"/>
        </w:rPr>
        <w:t xml:space="preserve">customers wishing to enter into </w:t>
      </w:r>
      <w:r w:rsidR="001E5093" w:rsidRPr="002914B2">
        <w:rPr>
          <w:sz w:val="23"/>
          <w:szCs w:val="23"/>
          <w:lang w:val="en-JM"/>
        </w:rPr>
        <w:t>new contracts</w:t>
      </w:r>
      <w:r w:rsidR="00AB273D" w:rsidRPr="002914B2">
        <w:rPr>
          <w:sz w:val="23"/>
          <w:szCs w:val="23"/>
          <w:lang w:val="en-JM"/>
        </w:rPr>
        <w:t xml:space="preserve"> with telecoms operators</w:t>
      </w:r>
      <w:r w:rsidR="001E5093" w:rsidRPr="002914B2">
        <w:rPr>
          <w:sz w:val="23"/>
          <w:szCs w:val="23"/>
          <w:lang w:val="en-JM"/>
        </w:rPr>
        <w:t xml:space="preserve"> will </w:t>
      </w:r>
      <w:r w:rsidR="00AB273D" w:rsidRPr="002914B2">
        <w:rPr>
          <w:sz w:val="23"/>
          <w:szCs w:val="23"/>
          <w:lang w:val="en-JM"/>
        </w:rPr>
        <w:t xml:space="preserve">be offered </w:t>
      </w:r>
      <w:r w:rsidR="00E23521" w:rsidRPr="002914B2">
        <w:rPr>
          <w:sz w:val="23"/>
          <w:szCs w:val="23"/>
          <w:lang w:val="en-JM"/>
        </w:rPr>
        <w:t xml:space="preserve">the option of setting </w:t>
      </w:r>
      <w:r w:rsidR="00567186" w:rsidRPr="002914B2">
        <w:rPr>
          <w:sz w:val="23"/>
          <w:szCs w:val="23"/>
          <w:lang w:val="en-JM"/>
        </w:rPr>
        <w:t>financial cap</w:t>
      </w:r>
      <w:r w:rsidR="00910CD2" w:rsidRPr="002914B2">
        <w:rPr>
          <w:sz w:val="23"/>
          <w:szCs w:val="23"/>
          <w:lang w:val="en-JM"/>
        </w:rPr>
        <w:t>s</w:t>
      </w:r>
      <w:r w:rsidR="00567186" w:rsidRPr="002914B2">
        <w:rPr>
          <w:sz w:val="23"/>
          <w:szCs w:val="23"/>
          <w:lang w:val="en-JM"/>
        </w:rPr>
        <w:t xml:space="preserve"> </w:t>
      </w:r>
      <w:r w:rsidR="001E5093" w:rsidRPr="002914B2">
        <w:rPr>
          <w:sz w:val="23"/>
          <w:szCs w:val="23"/>
          <w:lang w:val="en-JM"/>
        </w:rPr>
        <w:t>(spending limit</w:t>
      </w:r>
      <w:r w:rsidR="00910CD2" w:rsidRPr="002914B2">
        <w:rPr>
          <w:sz w:val="23"/>
          <w:szCs w:val="23"/>
          <w:lang w:val="en-JM"/>
        </w:rPr>
        <w:t>s</w:t>
      </w:r>
      <w:r w:rsidR="001E5093" w:rsidRPr="002914B2">
        <w:rPr>
          <w:sz w:val="23"/>
          <w:szCs w:val="23"/>
          <w:lang w:val="en-JM"/>
        </w:rPr>
        <w:t>).</w:t>
      </w:r>
    </w:p>
    <w:p w:rsidR="00FC4598" w:rsidRPr="002914B2" w:rsidRDefault="00FC4598" w:rsidP="00736B33">
      <w:pPr>
        <w:jc w:val="both"/>
        <w:rPr>
          <w:sz w:val="23"/>
          <w:szCs w:val="23"/>
          <w:lang w:val="en-JM"/>
        </w:rPr>
      </w:pPr>
    </w:p>
    <w:p w:rsidR="00FC4598" w:rsidRPr="002914B2" w:rsidRDefault="00FC4598" w:rsidP="00FC4598">
      <w:pPr>
        <w:jc w:val="both"/>
        <w:rPr>
          <w:sz w:val="23"/>
          <w:szCs w:val="23"/>
        </w:rPr>
      </w:pPr>
      <w:r w:rsidRPr="002914B2">
        <w:rPr>
          <w:sz w:val="23"/>
          <w:szCs w:val="23"/>
          <w:lang w:val="en-JM"/>
        </w:rPr>
        <w:t>These changes are among the decisions made by the Office of Utilities Regulation (OUR)</w:t>
      </w:r>
      <w:r w:rsidRPr="002914B2">
        <w:rPr>
          <w:sz w:val="23"/>
          <w:szCs w:val="23"/>
        </w:rPr>
        <w:t xml:space="preserve"> in its Determination Notice titled: </w:t>
      </w:r>
      <w:r w:rsidRPr="002914B2">
        <w:rPr>
          <w:b/>
          <w:sz w:val="23"/>
          <w:szCs w:val="23"/>
        </w:rPr>
        <w:t>Improving Information Transparency in Telecommunication Markets.</w:t>
      </w:r>
      <w:r w:rsidRPr="002914B2">
        <w:rPr>
          <w:sz w:val="23"/>
          <w:szCs w:val="23"/>
        </w:rPr>
        <w:t xml:space="preserve"> This</w:t>
      </w:r>
      <w:r w:rsidR="00AD28AA" w:rsidRPr="002914B2">
        <w:rPr>
          <w:sz w:val="23"/>
          <w:szCs w:val="23"/>
        </w:rPr>
        <w:t>,</w:t>
      </w:r>
      <w:r w:rsidRPr="002914B2">
        <w:rPr>
          <w:sz w:val="23"/>
          <w:szCs w:val="23"/>
        </w:rPr>
        <w:t xml:space="preserve"> following complaints from mobile telecommunications customers about issues </w:t>
      </w:r>
      <w:r w:rsidR="00AD28AA" w:rsidRPr="002914B2">
        <w:rPr>
          <w:sz w:val="23"/>
          <w:szCs w:val="23"/>
        </w:rPr>
        <w:t>such as</w:t>
      </w:r>
      <w:r w:rsidRPr="002914B2">
        <w:rPr>
          <w:sz w:val="23"/>
          <w:szCs w:val="23"/>
        </w:rPr>
        <w:t xml:space="preserve">: </w:t>
      </w:r>
    </w:p>
    <w:p w:rsidR="00FC4598" w:rsidRPr="002914B2" w:rsidRDefault="00FC4598" w:rsidP="00FC4598">
      <w:pPr>
        <w:pStyle w:val="ListParagraph"/>
        <w:numPr>
          <w:ilvl w:val="0"/>
          <w:numId w:val="9"/>
        </w:numPr>
        <w:jc w:val="both"/>
        <w:rPr>
          <w:sz w:val="23"/>
          <w:szCs w:val="23"/>
        </w:rPr>
      </w:pPr>
      <w:r w:rsidRPr="002914B2">
        <w:rPr>
          <w:sz w:val="23"/>
          <w:szCs w:val="23"/>
        </w:rPr>
        <w:t>Unexpectedly high call charges for post-paid subscribers;</w:t>
      </w:r>
    </w:p>
    <w:p w:rsidR="00FC4598" w:rsidRPr="002914B2" w:rsidRDefault="00FC4598" w:rsidP="00FC4598">
      <w:pPr>
        <w:pStyle w:val="ListParagraph"/>
        <w:numPr>
          <w:ilvl w:val="0"/>
          <w:numId w:val="9"/>
        </w:numPr>
        <w:jc w:val="both"/>
        <w:rPr>
          <w:sz w:val="23"/>
          <w:szCs w:val="23"/>
        </w:rPr>
      </w:pPr>
      <w:r w:rsidRPr="002914B2">
        <w:rPr>
          <w:sz w:val="23"/>
          <w:szCs w:val="23"/>
        </w:rPr>
        <w:t>Non-receipt of notification when data credit is nearly exhausted, or has been exhausted;</w:t>
      </w:r>
    </w:p>
    <w:p w:rsidR="00FC4598" w:rsidRPr="002914B2" w:rsidRDefault="00FC4598" w:rsidP="00FC4598">
      <w:pPr>
        <w:pStyle w:val="ListParagraph"/>
        <w:numPr>
          <w:ilvl w:val="0"/>
          <w:numId w:val="9"/>
        </w:numPr>
        <w:jc w:val="both"/>
        <w:rPr>
          <w:sz w:val="23"/>
          <w:szCs w:val="23"/>
        </w:rPr>
      </w:pPr>
      <w:r w:rsidRPr="002914B2">
        <w:rPr>
          <w:sz w:val="23"/>
          <w:szCs w:val="23"/>
        </w:rPr>
        <w:t>Incidents of rapid credit depletion when credit is applied for data use</w:t>
      </w:r>
      <w:r w:rsidR="005544BE" w:rsidRPr="002914B2">
        <w:rPr>
          <w:sz w:val="23"/>
          <w:szCs w:val="23"/>
        </w:rPr>
        <w:t>, in the case of prepaid customers</w:t>
      </w:r>
      <w:r w:rsidRPr="002914B2">
        <w:rPr>
          <w:sz w:val="23"/>
          <w:szCs w:val="23"/>
        </w:rPr>
        <w:t>;</w:t>
      </w:r>
      <w:r w:rsidR="00AD28AA" w:rsidRPr="002914B2">
        <w:rPr>
          <w:sz w:val="23"/>
          <w:szCs w:val="23"/>
        </w:rPr>
        <w:t xml:space="preserve"> and</w:t>
      </w:r>
      <w:r w:rsidR="00481605" w:rsidRPr="002914B2">
        <w:rPr>
          <w:sz w:val="23"/>
          <w:szCs w:val="23"/>
        </w:rPr>
        <w:t>,</w:t>
      </w:r>
    </w:p>
    <w:p w:rsidR="00FC4598" w:rsidRPr="002914B2" w:rsidRDefault="00FC4598" w:rsidP="00FC4598">
      <w:pPr>
        <w:pStyle w:val="ListParagraph"/>
        <w:numPr>
          <w:ilvl w:val="0"/>
          <w:numId w:val="9"/>
        </w:numPr>
        <w:jc w:val="both"/>
        <w:rPr>
          <w:sz w:val="23"/>
          <w:szCs w:val="23"/>
        </w:rPr>
      </w:pPr>
      <w:r w:rsidRPr="002914B2">
        <w:rPr>
          <w:sz w:val="23"/>
          <w:szCs w:val="23"/>
        </w:rPr>
        <w:t xml:space="preserve">Exhaustion of data plan credit when ‘mobile data’ </w:t>
      </w:r>
      <w:r w:rsidR="00AD28AA" w:rsidRPr="002914B2">
        <w:rPr>
          <w:sz w:val="23"/>
          <w:szCs w:val="23"/>
        </w:rPr>
        <w:t xml:space="preserve">is </w:t>
      </w:r>
      <w:r w:rsidRPr="002914B2">
        <w:rPr>
          <w:sz w:val="23"/>
          <w:szCs w:val="23"/>
        </w:rPr>
        <w:t>disabled on their devices.</w:t>
      </w:r>
    </w:p>
    <w:p w:rsidR="001E5093" w:rsidRPr="002914B2" w:rsidRDefault="001E5093" w:rsidP="00736B33">
      <w:pPr>
        <w:jc w:val="both"/>
        <w:rPr>
          <w:sz w:val="23"/>
          <w:szCs w:val="23"/>
          <w:lang w:val="en-JM"/>
        </w:rPr>
      </w:pPr>
    </w:p>
    <w:p w:rsidR="005A0515" w:rsidRPr="002914B2" w:rsidRDefault="00AD28AA" w:rsidP="005A0515">
      <w:pPr>
        <w:jc w:val="both"/>
        <w:rPr>
          <w:sz w:val="23"/>
          <w:szCs w:val="23"/>
          <w:lang w:val="en-JM"/>
        </w:rPr>
      </w:pPr>
      <w:r w:rsidRPr="002914B2">
        <w:rPr>
          <w:sz w:val="23"/>
          <w:szCs w:val="23"/>
          <w:lang w:val="en-JM"/>
        </w:rPr>
        <w:t xml:space="preserve">As of </w:t>
      </w:r>
      <w:r w:rsidR="004B2405" w:rsidRPr="002914B2">
        <w:rPr>
          <w:sz w:val="23"/>
          <w:szCs w:val="23"/>
          <w:lang w:val="en-JM"/>
        </w:rPr>
        <w:t xml:space="preserve"> </w:t>
      </w:r>
      <w:r w:rsidR="00615E41" w:rsidRPr="002914B2">
        <w:rPr>
          <w:sz w:val="23"/>
          <w:szCs w:val="23"/>
          <w:lang w:val="en-JM"/>
        </w:rPr>
        <w:t xml:space="preserve">2020 </w:t>
      </w:r>
      <w:r w:rsidR="005A0515" w:rsidRPr="002914B2">
        <w:rPr>
          <w:sz w:val="23"/>
          <w:szCs w:val="23"/>
          <w:lang w:val="en-JM"/>
        </w:rPr>
        <w:t xml:space="preserve">October 18, </w:t>
      </w:r>
      <w:r w:rsidR="00FC4598" w:rsidRPr="002914B2">
        <w:rPr>
          <w:sz w:val="23"/>
          <w:szCs w:val="23"/>
          <w:lang w:val="en-JM"/>
        </w:rPr>
        <w:t xml:space="preserve">telecoms </w:t>
      </w:r>
      <w:r w:rsidR="004B2405" w:rsidRPr="002914B2">
        <w:rPr>
          <w:sz w:val="23"/>
          <w:szCs w:val="23"/>
          <w:lang w:val="en-JM"/>
        </w:rPr>
        <w:t>c</w:t>
      </w:r>
      <w:r w:rsidR="005A0515" w:rsidRPr="002914B2">
        <w:rPr>
          <w:sz w:val="23"/>
          <w:szCs w:val="23"/>
          <w:lang w:val="en-JM"/>
        </w:rPr>
        <w:t xml:space="preserve">ustomers </w:t>
      </w:r>
      <w:r w:rsidR="00FC4598" w:rsidRPr="002914B2">
        <w:rPr>
          <w:sz w:val="23"/>
          <w:szCs w:val="23"/>
          <w:lang w:val="en-JM"/>
        </w:rPr>
        <w:t xml:space="preserve">should </w:t>
      </w:r>
      <w:r w:rsidRPr="002914B2">
        <w:rPr>
          <w:sz w:val="23"/>
          <w:szCs w:val="23"/>
          <w:lang w:val="en-JM"/>
        </w:rPr>
        <w:t>see</w:t>
      </w:r>
      <w:r w:rsidR="00FC4598" w:rsidRPr="002914B2">
        <w:rPr>
          <w:sz w:val="23"/>
          <w:szCs w:val="23"/>
          <w:lang w:val="en-JM"/>
        </w:rPr>
        <w:t xml:space="preserve"> </w:t>
      </w:r>
      <w:r w:rsidR="00482705" w:rsidRPr="002914B2">
        <w:rPr>
          <w:sz w:val="23"/>
          <w:szCs w:val="23"/>
          <w:lang w:val="en-JM"/>
        </w:rPr>
        <w:t xml:space="preserve">automatic </w:t>
      </w:r>
      <w:r w:rsidR="00FC4598" w:rsidRPr="002914B2">
        <w:rPr>
          <w:sz w:val="23"/>
          <w:szCs w:val="23"/>
          <w:lang w:val="en-JM"/>
        </w:rPr>
        <w:t>n</w:t>
      </w:r>
      <w:r w:rsidR="005A0515" w:rsidRPr="002914B2">
        <w:rPr>
          <w:sz w:val="23"/>
          <w:szCs w:val="23"/>
          <w:lang w:val="en-JM"/>
        </w:rPr>
        <w:t xml:space="preserve">otification alerts – free of charge </w:t>
      </w:r>
      <w:r w:rsidR="004B2405" w:rsidRPr="002914B2">
        <w:rPr>
          <w:sz w:val="23"/>
          <w:szCs w:val="23"/>
          <w:lang w:val="en-JM"/>
        </w:rPr>
        <w:t>–</w:t>
      </w:r>
      <w:r w:rsidR="005A0515" w:rsidRPr="002914B2">
        <w:rPr>
          <w:sz w:val="23"/>
          <w:szCs w:val="23"/>
          <w:lang w:val="en-JM"/>
        </w:rPr>
        <w:t xml:space="preserve"> </w:t>
      </w:r>
      <w:r w:rsidR="00482705" w:rsidRPr="002914B2">
        <w:rPr>
          <w:sz w:val="23"/>
          <w:szCs w:val="23"/>
          <w:lang w:val="en-JM"/>
        </w:rPr>
        <w:t>in an electronic format such as a</w:t>
      </w:r>
      <w:r w:rsidR="005A0515" w:rsidRPr="002914B2">
        <w:rPr>
          <w:sz w:val="23"/>
          <w:szCs w:val="23"/>
          <w:lang w:val="en-JM"/>
        </w:rPr>
        <w:t xml:space="preserve"> SMS, or other form of </w:t>
      </w:r>
      <w:r w:rsidR="00910CD2" w:rsidRPr="002914B2">
        <w:rPr>
          <w:sz w:val="23"/>
          <w:szCs w:val="23"/>
          <w:lang w:val="en-JM"/>
        </w:rPr>
        <w:t>communication</w:t>
      </w:r>
      <w:r w:rsidR="005A0515" w:rsidRPr="002914B2">
        <w:rPr>
          <w:sz w:val="23"/>
          <w:szCs w:val="23"/>
          <w:lang w:val="en-JM"/>
        </w:rPr>
        <w:t xml:space="preserve"> when the</w:t>
      </w:r>
      <w:r w:rsidR="00FC4598" w:rsidRPr="002914B2">
        <w:rPr>
          <w:sz w:val="23"/>
          <w:szCs w:val="23"/>
          <w:lang w:val="en-JM"/>
        </w:rPr>
        <w:t>ir</w:t>
      </w:r>
      <w:r w:rsidR="005A0515" w:rsidRPr="002914B2">
        <w:rPr>
          <w:sz w:val="23"/>
          <w:szCs w:val="23"/>
          <w:lang w:val="en-JM"/>
        </w:rPr>
        <w:t xml:space="preserve"> bill</w:t>
      </w:r>
      <w:r w:rsidR="00FC4598" w:rsidRPr="002914B2">
        <w:rPr>
          <w:sz w:val="23"/>
          <w:szCs w:val="23"/>
          <w:lang w:val="en-JM"/>
        </w:rPr>
        <w:t>s</w:t>
      </w:r>
      <w:r w:rsidR="005A0515" w:rsidRPr="002914B2">
        <w:rPr>
          <w:sz w:val="23"/>
          <w:szCs w:val="23"/>
          <w:lang w:val="en-JM"/>
        </w:rPr>
        <w:t xml:space="preserve"> approach a usage level of 60%, then again at 80%</w:t>
      </w:r>
      <w:r w:rsidR="00482705" w:rsidRPr="002914B2">
        <w:rPr>
          <w:sz w:val="23"/>
          <w:szCs w:val="23"/>
          <w:lang w:val="en-JM"/>
        </w:rPr>
        <w:t xml:space="preserve"> and at 100%</w:t>
      </w:r>
      <w:r w:rsidR="005A0515" w:rsidRPr="002914B2">
        <w:rPr>
          <w:sz w:val="23"/>
          <w:szCs w:val="23"/>
          <w:lang w:val="en-JM"/>
        </w:rPr>
        <w:t xml:space="preserve">. At the 100% limit, </w:t>
      </w:r>
      <w:r w:rsidR="005544BE" w:rsidRPr="002914B2">
        <w:rPr>
          <w:sz w:val="23"/>
          <w:szCs w:val="23"/>
          <w:lang w:val="en-JM"/>
        </w:rPr>
        <w:t>this</w:t>
      </w:r>
      <w:r w:rsidR="005A0515" w:rsidRPr="002914B2">
        <w:rPr>
          <w:sz w:val="23"/>
          <w:szCs w:val="23"/>
          <w:lang w:val="en-JM"/>
        </w:rPr>
        <w:t xml:space="preserve"> alert </w:t>
      </w:r>
      <w:r w:rsidR="005544BE" w:rsidRPr="002914B2">
        <w:rPr>
          <w:sz w:val="23"/>
          <w:szCs w:val="23"/>
          <w:lang w:val="en-JM"/>
        </w:rPr>
        <w:t>should also provide</w:t>
      </w:r>
      <w:r w:rsidR="00570EC5" w:rsidRPr="002914B2">
        <w:rPr>
          <w:sz w:val="23"/>
          <w:szCs w:val="23"/>
          <w:lang w:val="en-JM"/>
        </w:rPr>
        <w:t xml:space="preserve"> </w:t>
      </w:r>
      <w:r w:rsidR="005A0515" w:rsidRPr="002914B2">
        <w:rPr>
          <w:sz w:val="23"/>
          <w:szCs w:val="23"/>
          <w:lang w:val="en-JM"/>
        </w:rPr>
        <w:t xml:space="preserve">information on how the customer can renew the plan, or add a new plan. </w:t>
      </w:r>
      <w:r w:rsidR="00570EC5" w:rsidRPr="002914B2">
        <w:rPr>
          <w:sz w:val="23"/>
          <w:szCs w:val="23"/>
          <w:lang w:val="en-JM"/>
        </w:rPr>
        <w:t>T</w:t>
      </w:r>
      <w:r w:rsidR="005A0515" w:rsidRPr="002914B2">
        <w:rPr>
          <w:sz w:val="23"/>
          <w:szCs w:val="23"/>
          <w:lang w:val="en-JM"/>
        </w:rPr>
        <w:t xml:space="preserve">he 100% alert must also give the customer a website link to details on how to go about adding </w:t>
      </w:r>
      <w:r w:rsidR="00910CD2" w:rsidRPr="002914B2">
        <w:rPr>
          <w:sz w:val="23"/>
          <w:szCs w:val="23"/>
          <w:lang w:val="en-JM"/>
        </w:rPr>
        <w:t xml:space="preserve">or renewing </w:t>
      </w:r>
      <w:r w:rsidR="005A0515" w:rsidRPr="002914B2">
        <w:rPr>
          <w:sz w:val="23"/>
          <w:szCs w:val="23"/>
          <w:lang w:val="en-JM"/>
        </w:rPr>
        <w:t>service at standard rates.</w:t>
      </w:r>
      <w:r w:rsidR="00025A04" w:rsidRPr="002914B2">
        <w:rPr>
          <w:sz w:val="23"/>
          <w:szCs w:val="23"/>
          <w:lang w:val="en-JM"/>
        </w:rPr>
        <w:t xml:space="preserve"> </w:t>
      </w:r>
      <w:r w:rsidRPr="002914B2">
        <w:rPr>
          <w:sz w:val="23"/>
          <w:szCs w:val="23"/>
          <w:lang w:val="en-JM"/>
        </w:rPr>
        <w:t xml:space="preserve">Using </w:t>
      </w:r>
      <w:r w:rsidR="00025A04" w:rsidRPr="002914B2">
        <w:rPr>
          <w:sz w:val="23"/>
          <w:szCs w:val="23"/>
          <w:lang w:val="en-JM"/>
        </w:rPr>
        <w:t xml:space="preserve">this link to access additional information on the service should not result in any internet charges to the customer. </w:t>
      </w:r>
      <w:r w:rsidR="00997FF5" w:rsidRPr="002914B2">
        <w:rPr>
          <w:sz w:val="23"/>
          <w:szCs w:val="23"/>
          <w:lang w:val="en-JM"/>
        </w:rPr>
        <w:t xml:space="preserve"> </w:t>
      </w:r>
      <w:r w:rsidRPr="002914B2">
        <w:rPr>
          <w:sz w:val="23"/>
          <w:szCs w:val="23"/>
          <w:lang w:val="en-JM"/>
        </w:rPr>
        <w:t>H</w:t>
      </w:r>
      <w:r w:rsidR="00997FF5" w:rsidRPr="002914B2">
        <w:rPr>
          <w:sz w:val="23"/>
          <w:szCs w:val="23"/>
          <w:lang w:val="en-JM"/>
        </w:rPr>
        <w:t>owever, if the mobile service is purchased as a stand-alone product, that is, not as a bundled plan, then alerts are to be based on the financial cap established by the customer.</w:t>
      </w:r>
    </w:p>
    <w:p w:rsidR="00997FF5" w:rsidRPr="002914B2" w:rsidRDefault="00997FF5" w:rsidP="005A0515">
      <w:pPr>
        <w:jc w:val="both"/>
        <w:rPr>
          <w:sz w:val="23"/>
          <w:szCs w:val="23"/>
          <w:lang w:val="en-JM"/>
        </w:rPr>
      </w:pPr>
    </w:p>
    <w:p w:rsidR="005A0515" w:rsidRPr="002914B2" w:rsidRDefault="00997FF5" w:rsidP="005A0515">
      <w:pPr>
        <w:jc w:val="both"/>
        <w:rPr>
          <w:sz w:val="23"/>
          <w:szCs w:val="23"/>
          <w:lang w:val="en-JM"/>
        </w:rPr>
      </w:pPr>
      <w:r w:rsidRPr="002914B2">
        <w:rPr>
          <w:sz w:val="23"/>
          <w:szCs w:val="23"/>
          <w:lang w:val="en-JM"/>
        </w:rPr>
        <w:t>For pre-paid mobile customers, the usage notification alerts may be sent in the format preferred by the telecoms utility</w:t>
      </w:r>
      <w:r w:rsidR="005B2E2B" w:rsidRPr="002914B2">
        <w:rPr>
          <w:sz w:val="23"/>
          <w:szCs w:val="23"/>
          <w:lang w:val="en-JM"/>
        </w:rPr>
        <w:t xml:space="preserve"> provider</w:t>
      </w:r>
      <w:r w:rsidRPr="002914B2">
        <w:rPr>
          <w:sz w:val="23"/>
          <w:szCs w:val="23"/>
          <w:lang w:val="en-JM"/>
        </w:rPr>
        <w:t>. Such format may include ‘remaining minutes’, data or SMS.</w:t>
      </w:r>
    </w:p>
    <w:p w:rsidR="005A0515" w:rsidRPr="002914B2" w:rsidRDefault="005A0515" w:rsidP="005A0515">
      <w:pPr>
        <w:jc w:val="both"/>
        <w:rPr>
          <w:sz w:val="23"/>
          <w:szCs w:val="23"/>
          <w:lang w:val="en-JM"/>
        </w:rPr>
      </w:pPr>
    </w:p>
    <w:p w:rsidR="007B77DD" w:rsidRPr="002914B2" w:rsidRDefault="002914B2" w:rsidP="005A0515">
      <w:pPr>
        <w:jc w:val="both"/>
        <w:rPr>
          <w:sz w:val="23"/>
          <w:szCs w:val="23"/>
          <w:lang w:val="en-JM"/>
        </w:rPr>
      </w:pPr>
      <w:r w:rsidRPr="002914B2">
        <w:rPr>
          <w:sz w:val="23"/>
          <w:szCs w:val="23"/>
          <w:lang w:val="en-JM"/>
        </w:rPr>
        <w:lastRenderedPageBreak/>
        <w:t>The</w:t>
      </w:r>
      <w:r>
        <w:rPr>
          <w:sz w:val="23"/>
          <w:szCs w:val="23"/>
          <w:lang w:val="en-JM"/>
        </w:rPr>
        <w:t xml:space="preserve"> “</w:t>
      </w:r>
      <w:r w:rsidR="00361B86" w:rsidRPr="002914B2">
        <w:rPr>
          <w:sz w:val="23"/>
          <w:szCs w:val="23"/>
          <w:lang w:val="en-JM"/>
        </w:rPr>
        <w:t>E</w:t>
      </w:r>
      <w:r w:rsidR="00997FF5" w:rsidRPr="002914B2">
        <w:rPr>
          <w:sz w:val="23"/>
          <w:szCs w:val="23"/>
          <w:lang w:val="en-JM"/>
        </w:rPr>
        <w:t>stablishment of Financial Caps” which also becomes effective as of</w:t>
      </w:r>
      <w:r w:rsidR="005A0515" w:rsidRPr="002914B2">
        <w:rPr>
          <w:sz w:val="23"/>
          <w:szCs w:val="23"/>
          <w:lang w:val="en-JM"/>
        </w:rPr>
        <w:t xml:space="preserve"> October 18, </w:t>
      </w:r>
      <w:r w:rsidR="00A72ABA" w:rsidRPr="002914B2">
        <w:rPr>
          <w:sz w:val="23"/>
          <w:szCs w:val="23"/>
          <w:lang w:val="en-JM"/>
        </w:rPr>
        <w:t xml:space="preserve">will make it automatic </w:t>
      </w:r>
      <w:r w:rsidR="005B2E2B" w:rsidRPr="002914B2">
        <w:rPr>
          <w:sz w:val="23"/>
          <w:szCs w:val="23"/>
          <w:lang w:val="en-JM"/>
        </w:rPr>
        <w:t xml:space="preserve">for </w:t>
      </w:r>
      <w:r w:rsidR="00A72ABA" w:rsidRPr="002914B2">
        <w:rPr>
          <w:sz w:val="23"/>
          <w:szCs w:val="23"/>
          <w:lang w:val="en-JM"/>
        </w:rPr>
        <w:t xml:space="preserve">service providers </w:t>
      </w:r>
      <w:r w:rsidR="005B2E2B" w:rsidRPr="002914B2">
        <w:rPr>
          <w:sz w:val="23"/>
          <w:szCs w:val="23"/>
          <w:lang w:val="en-JM"/>
        </w:rPr>
        <w:t xml:space="preserve">to </w:t>
      </w:r>
      <w:r w:rsidR="00A72ABA" w:rsidRPr="002914B2">
        <w:rPr>
          <w:sz w:val="23"/>
          <w:szCs w:val="23"/>
          <w:lang w:val="en-JM"/>
        </w:rPr>
        <w:t>offer financial caps for all new</w:t>
      </w:r>
      <w:r w:rsidR="00997FF5" w:rsidRPr="002914B2">
        <w:rPr>
          <w:sz w:val="23"/>
          <w:szCs w:val="23"/>
          <w:lang w:val="en-JM"/>
        </w:rPr>
        <w:t xml:space="preserve"> post-paid </w:t>
      </w:r>
      <w:r w:rsidR="00A72ABA" w:rsidRPr="002914B2">
        <w:rPr>
          <w:sz w:val="23"/>
          <w:szCs w:val="23"/>
          <w:lang w:val="en-JM"/>
        </w:rPr>
        <w:t>contracts.</w:t>
      </w:r>
      <w:r w:rsidR="005A0515" w:rsidRPr="002914B2">
        <w:rPr>
          <w:sz w:val="23"/>
          <w:szCs w:val="23"/>
          <w:lang w:val="en-JM"/>
        </w:rPr>
        <w:t xml:space="preserve"> </w:t>
      </w:r>
      <w:r w:rsidR="007B77DD" w:rsidRPr="002914B2">
        <w:rPr>
          <w:sz w:val="23"/>
          <w:szCs w:val="23"/>
          <w:lang w:val="en-JM"/>
        </w:rPr>
        <w:t xml:space="preserve">Under this directive, telecoms providers will need to have new customers decide </w:t>
      </w:r>
      <w:r w:rsidR="00E73D9D" w:rsidRPr="002914B2">
        <w:rPr>
          <w:sz w:val="23"/>
          <w:szCs w:val="23"/>
          <w:lang w:val="en-JM"/>
        </w:rPr>
        <w:t>if they want to set a</w:t>
      </w:r>
      <w:r w:rsidR="007B77DD" w:rsidRPr="002914B2">
        <w:rPr>
          <w:sz w:val="23"/>
          <w:szCs w:val="23"/>
          <w:lang w:val="en-JM"/>
        </w:rPr>
        <w:t xml:space="preserve"> spending limit. </w:t>
      </w:r>
      <w:r w:rsidR="00A72ABA" w:rsidRPr="002914B2">
        <w:rPr>
          <w:sz w:val="23"/>
          <w:szCs w:val="23"/>
          <w:lang w:val="en-JM"/>
        </w:rPr>
        <w:t>Note however</w:t>
      </w:r>
      <w:r w:rsidR="00361B86" w:rsidRPr="002914B2">
        <w:rPr>
          <w:sz w:val="23"/>
          <w:szCs w:val="23"/>
          <w:lang w:val="en-JM"/>
        </w:rPr>
        <w:t>,</w:t>
      </w:r>
      <w:r w:rsidR="00A72ABA" w:rsidRPr="002914B2">
        <w:rPr>
          <w:sz w:val="23"/>
          <w:szCs w:val="23"/>
          <w:lang w:val="en-JM"/>
        </w:rPr>
        <w:t xml:space="preserve"> that customers will be unable to set financial caps for roaming services, as the implementation of caps on these services has been delayed.  </w:t>
      </w:r>
    </w:p>
    <w:p w:rsidR="007B77DD" w:rsidRPr="002914B2" w:rsidRDefault="00AD28AA" w:rsidP="005A0515">
      <w:pPr>
        <w:jc w:val="both"/>
        <w:rPr>
          <w:sz w:val="23"/>
          <w:szCs w:val="23"/>
          <w:lang w:val="en-JM"/>
        </w:rPr>
      </w:pP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r w:rsidRPr="002914B2">
        <w:rPr>
          <w:sz w:val="23"/>
          <w:szCs w:val="23"/>
          <w:lang w:val="en-JM"/>
        </w:rPr>
        <w:tab/>
      </w:r>
    </w:p>
    <w:p w:rsidR="005A0515" w:rsidRPr="002914B2" w:rsidRDefault="007B77DD" w:rsidP="005A0515">
      <w:pPr>
        <w:jc w:val="both"/>
        <w:rPr>
          <w:sz w:val="23"/>
          <w:szCs w:val="23"/>
          <w:lang w:val="en-JM"/>
        </w:rPr>
      </w:pPr>
      <w:r w:rsidRPr="002914B2">
        <w:rPr>
          <w:sz w:val="23"/>
          <w:szCs w:val="23"/>
          <w:lang w:val="en-JM"/>
        </w:rPr>
        <w:t xml:space="preserve">Telecoms providers must also permit existing post-paid customers to </w:t>
      </w:r>
      <w:r w:rsidR="00E73D9D" w:rsidRPr="002914B2">
        <w:rPr>
          <w:sz w:val="23"/>
          <w:szCs w:val="23"/>
          <w:lang w:val="en-JM"/>
        </w:rPr>
        <w:t xml:space="preserve">’opt in’ to a </w:t>
      </w:r>
      <w:r w:rsidRPr="002914B2">
        <w:rPr>
          <w:sz w:val="23"/>
          <w:szCs w:val="23"/>
          <w:lang w:val="en-JM"/>
        </w:rPr>
        <w:t>financial cap. Post-paid customers have the option to choose not to set a spending limit.</w:t>
      </w:r>
    </w:p>
    <w:p w:rsidR="00570EC5" w:rsidRPr="002914B2" w:rsidRDefault="00570EC5" w:rsidP="005A0515">
      <w:pPr>
        <w:jc w:val="both"/>
        <w:rPr>
          <w:sz w:val="23"/>
          <w:szCs w:val="23"/>
          <w:lang w:val="en-JM"/>
        </w:rPr>
      </w:pPr>
      <w:r w:rsidRPr="002914B2">
        <w:rPr>
          <w:sz w:val="23"/>
          <w:szCs w:val="23"/>
          <w:lang w:val="en-JM"/>
        </w:rPr>
        <w:t>OUR’s other decisions on information transp</w:t>
      </w:r>
      <w:r w:rsidR="00910CD2" w:rsidRPr="002914B2">
        <w:rPr>
          <w:sz w:val="23"/>
          <w:szCs w:val="23"/>
          <w:lang w:val="en-JM"/>
        </w:rPr>
        <w:t>arency</w:t>
      </w:r>
      <w:r w:rsidRPr="002914B2">
        <w:rPr>
          <w:sz w:val="23"/>
          <w:szCs w:val="23"/>
          <w:lang w:val="en-JM"/>
        </w:rPr>
        <w:t xml:space="preserve"> for telecommunications customers will take effect 2020 December and 2021 December.  </w:t>
      </w:r>
    </w:p>
    <w:p w:rsidR="00411A39" w:rsidRPr="002914B2" w:rsidRDefault="00411A39" w:rsidP="005A0515">
      <w:pPr>
        <w:jc w:val="both"/>
        <w:rPr>
          <w:sz w:val="23"/>
          <w:szCs w:val="23"/>
          <w:lang w:val="en-JM"/>
        </w:rPr>
      </w:pPr>
    </w:p>
    <w:p w:rsidR="007B77DD" w:rsidRPr="002914B2" w:rsidRDefault="002D5B50" w:rsidP="005A0515">
      <w:pPr>
        <w:jc w:val="both"/>
        <w:rPr>
          <w:b/>
          <w:sz w:val="23"/>
          <w:szCs w:val="23"/>
        </w:rPr>
      </w:pPr>
      <w:r w:rsidRPr="002914B2">
        <w:rPr>
          <w:sz w:val="23"/>
          <w:szCs w:val="23"/>
        </w:rPr>
        <w:t xml:space="preserve">OUR’s Determination Notice titled: </w:t>
      </w:r>
      <w:r w:rsidRPr="002914B2">
        <w:rPr>
          <w:b/>
          <w:sz w:val="23"/>
          <w:szCs w:val="23"/>
        </w:rPr>
        <w:t xml:space="preserve">Improving Information Transparency in Telecommunication Markets </w:t>
      </w:r>
      <w:r w:rsidRPr="002914B2">
        <w:rPr>
          <w:sz w:val="23"/>
          <w:szCs w:val="23"/>
        </w:rPr>
        <w:t xml:space="preserve">can be accessed on its website: </w:t>
      </w:r>
      <w:hyperlink r:id="rId8" w:history="1">
        <w:r w:rsidRPr="002914B2">
          <w:rPr>
            <w:rStyle w:val="Hyperlink"/>
            <w:sz w:val="23"/>
            <w:szCs w:val="23"/>
          </w:rPr>
          <w:t>www.our.org.jm</w:t>
        </w:r>
      </w:hyperlink>
      <w:r w:rsidRPr="002914B2">
        <w:rPr>
          <w:b/>
          <w:sz w:val="23"/>
          <w:szCs w:val="23"/>
        </w:rPr>
        <w:t xml:space="preserve">. </w:t>
      </w:r>
    </w:p>
    <w:p w:rsidR="002914B2" w:rsidRPr="002914B2" w:rsidRDefault="002914B2" w:rsidP="002914B2">
      <w:pPr>
        <w:jc w:val="right"/>
        <w:rPr>
          <w:b/>
          <w:sz w:val="23"/>
          <w:szCs w:val="23"/>
          <w:lang w:val="en-JM"/>
        </w:rPr>
      </w:pPr>
      <w:r w:rsidRPr="002914B2">
        <w:rPr>
          <w:b/>
          <w:sz w:val="23"/>
          <w:szCs w:val="23"/>
          <w:lang w:val="en-JM"/>
        </w:rPr>
        <w:t>/MORE</w:t>
      </w:r>
    </w:p>
    <w:p w:rsidR="002D5B50" w:rsidRPr="002914B2" w:rsidRDefault="002D5B50" w:rsidP="005A0515">
      <w:pPr>
        <w:jc w:val="both"/>
        <w:rPr>
          <w:sz w:val="23"/>
          <w:szCs w:val="23"/>
          <w:lang w:val="en-JM"/>
        </w:rPr>
      </w:pPr>
    </w:p>
    <w:p w:rsidR="002914B2" w:rsidRPr="002914B2" w:rsidRDefault="002914B2" w:rsidP="002914B2">
      <w:pPr>
        <w:rPr>
          <w:b/>
          <w:sz w:val="23"/>
          <w:szCs w:val="23"/>
          <w:lang w:val="en-JM"/>
        </w:rPr>
      </w:pPr>
      <w:r w:rsidRPr="002914B2">
        <w:rPr>
          <w:b/>
          <w:sz w:val="23"/>
          <w:szCs w:val="23"/>
          <w:lang w:val="en-JM"/>
        </w:rPr>
        <w:t>Flow and Digicel to Implement First Phase of Information Transparency Decisions …/2</w:t>
      </w:r>
    </w:p>
    <w:p w:rsidR="002914B2" w:rsidRPr="002914B2" w:rsidRDefault="002914B2" w:rsidP="002F4176">
      <w:pPr>
        <w:jc w:val="both"/>
        <w:rPr>
          <w:b/>
          <w:sz w:val="23"/>
          <w:szCs w:val="23"/>
          <w:lang w:val="en-JM"/>
        </w:rPr>
      </w:pPr>
    </w:p>
    <w:p w:rsidR="002914B2" w:rsidRPr="002914B2" w:rsidRDefault="002914B2" w:rsidP="002F4176">
      <w:pPr>
        <w:jc w:val="both"/>
        <w:rPr>
          <w:b/>
          <w:sz w:val="23"/>
          <w:szCs w:val="23"/>
          <w:u w:val="single"/>
          <w:lang w:val="en-JM"/>
        </w:rPr>
      </w:pPr>
    </w:p>
    <w:p w:rsidR="005929FA" w:rsidRPr="002914B2" w:rsidRDefault="00865BDE" w:rsidP="002F4176">
      <w:pPr>
        <w:jc w:val="both"/>
        <w:rPr>
          <w:b/>
          <w:sz w:val="23"/>
          <w:szCs w:val="23"/>
          <w:u w:val="single"/>
          <w:lang w:val="en-JM"/>
        </w:rPr>
      </w:pPr>
      <w:r w:rsidRPr="002914B2">
        <w:rPr>
          <w:b/>
          <w:sz w:val="23"/>
          <w:szCs w:val="23"/>
          <w:u w:val="single"/>
          <w:lang w:val="en-JM"/>
        </w:rPr>
        <w:t>BACKGROUND</w:t>
      </w:r>
    </w:p>
    <w:p w:rsidR="00AE1ACD" w:rsidRPr="002914B2" w:rsidRDefault="00AE1ACD" w:rsidP="00910CD2">
      <w:pPr>
        <w:jc w:val="both"/>
        <w:rPr>
          <w:sz w:val="23"/>
          <w:szCs w:val="23"/>
        </w:rPr>
      </w:pPr>
      <w:r w:rsidRPr="002914B2">
        <w:rPr>
          <w:sz w:val="23"/>
          <w:szCs w:val="23"/>
        </w:rPr>
        <w:t xml:space="preserve">On 2020 July 18, the OUR issued a Determination Notice titled: </w:t>
      </w:r>
      <w:r w:rsidRPr="002914B2">
        <w:rPr>
          <w:b/>
          <w:sz w:val="23"/>
          <w:szCs w:val="23"/>
        </w:rPr>
        <w:t>Improving Information Transparency in Telecommunication Markets.</w:t>
      </w:r>
      <w:r w:rsidRPr="002914B2">
        <w:rPr>
          <w:sz w:val="23"/>
          <w:szCs w:val="23"/>
        </w:rPr>
        <w:t xml:space="preserve"> </w:t>
      </w:r>
      <w:r w:rsidR="00B1173B" w:rsidRPr="002914B2">
        <w:rPr>
          <w:sz w:val="23"/>
          <w:szCs w:val="23"/>
          <w:lang w:val="en-JM"/>
        </w:rPr>
        <w:t>This Determination Notice specifies six (6) directives to be implemented by telecommunications providers Digicel and FLOW in three (3) phases. Two (2) of the three (3) phases are to be executed in the current calendar year (2020 October 18 and 2020 December 18). The final phase takes effect on 2021 December 18</w:t>
      </w:r>
      <w:r w:rsidR="00910CD2" w:rsidRPr="002914B2">
        <w:rPr>
          <w:sz w:val="23"/>
          <w:szCs w:val="23"/>
          <w:lang w:val="en-JM"/>
        </w:rPr>
        <w:t xml:space="preserve"> as indicated in the table below.</w:t>
      </w:r>
    </w:p>
    <w:p w:rsidR="008A1E02" w:rsidRDefault="008A1E02" w:rsidP="00AE1ACD">
      <w:pPr>
        <w:jc w:val="both"/>
        <w:rPr>
          <w:sz w:val="24"/>
          <w:szCs w:val="24"/>
        </w:rPr>
      </w:pPr>
    </w:p>
    <w:tbl>
      <w:tblPr>
        <w:tblStyle w:val="TableGrid2"/>
        <w:tblW w:w="10490" w:type="dxa"/>
        <w:tblInd w:w="-5" w:type="dxa"/>
        <w:tblLayout w:type="fixed"/>
        <w:tblLook w:val="04A0" w:firstRow="1" w:lastRow="0" w:firstColumn="1" w:lastColumn="0" w:noHBand="0" w:noVBand="1"/>
      </w:tblPr>
      <w:tblGrid>
        <w:gridCol w:w="1530"/>
        <w:gridCol w:w="1890"/>
        <w:gridCol w:w="1170"/>
        <w:gridCol w:w="5900"/>
      </w:tblGrid>
      <w:tr w:rsidR="008A1E02" w:rsidRPr="00B83FA4" w:rsidTr="00361B86">
        <w:trPr>
          <w:tblHeader/>
        </w:trPr>
        <w:tc>
          <w:tcPr>
            <w:tcW w:w="1530" w:type="dxa"/>
            <w:tcBorders>
              <w:top w:val="single" w:sz="4" w:space="0" w:color="auto"/>
            </w:tcBorders>
            <w:vAlign w:val="center"/>
          </w:tcPr>
          <w:p w:rsidR="008A1E02" w:rsidRPr="00361B86" w:rsidRDefault="008A1E02" w:rsidP="00361B86">
            <w:pPr>
              <w:rPr>
                <w:rFonts w:cstheme="minorHAnsi"/>
                <w:b/>
                <w:sz w:val="20"/>
                <w:szCs w:val="20"/>
              </w:rPr>
            </w:pPr>
            <w:r w:rsidRPr="00361B86">
              <w:rPr>
                <w:rFonts w:cstheme="minorHAnsi"/>
                <w:b/>
                <w:sz w:val="20"/>
                <w:szCs w:val="20"/>
              </w:rPr>
              <w:t xml:space="preserve">Determination </w:t>
            </w:r>
            <w:r w:rsidR="00614C63" w:rsidRPr="00361B86">
              <w:rPr>
                <w:rFonts w:cstheme="minorHAnsi"/>
                <w:b/>
                <w:sz w:val="20"/>
                <w:szCs w:val="20"/>
              </w:rPr>
              <w:t>Number</w:t>
            </w:r>
          </w:p>
        </w:tc>
        <w:tc>
          <w:tcPr>
            <w:tcW w:w="1890" w:type="dxa"/>
            <w:tcBorders>
              <w:top w:val="single" w:sz="4" w:space="0" w:color="auto"/>
            </w:tcBorders>
            <w:vAlign w:val="center"/>
          </w:tcPr>
          <w:p w:rsidR="008A1E02" w:rsidRPr="00361B86" w:rsidRDefault="00910CD2" w:rsidP="00461AD9">
            <w:pPr>
              <w:jc w:val="center"/>
              <w:rPr>
                <w:rFonts w:cstheme="minorHAnsi"/>
                <w:b/>
                <w:sz w:val="20"/>
                <w:szCs w:val="20"/>
              </w:rPr>
            </w:pPr>
            <w:r w:rsidRPr="00361B86">
              <w:rPr>
                <w:rFonts w:cstheme="minorHAnsi"/>
                <w:b/>
                <w:sz w:val="20"/>
                <w:szCs w:val="20"/>
              </w:rPr>
              <w:t xml:space="preserve">OUR </w:t>
            </w:r>
            <w:r w:rsidR="00180028" w:rsidRPr="00361B86">
              <w:rPr>
                <w:rFonts w:cstheme="minorHAnsi"/>
                <w:b/>
                <w:sz w:val="20"/>
                <w:szCs w:val="20"/>
              </w:rPr>
              <w:t>Directive</w:t>
            </w:r>
          </w:p>
        </w:tc>
        <w:tc>
          <w:tcPr>
            <w:tcW w:w="1170" w:type="dxa"/>
            <w:tcBorders>
              <w:top w:val="single" w:sz="4" w:space="0" w:color="auto"/>
            </w:tcBorders>
            <w:vAlign w:val="center"/>
          </w:tcPr>
          <w:p w:rsidR="008A1E02" w:rsidRPr="00361B86" w:rsidRDefault="00614C63" w:rsidP="00461AD9">
            <w:pPr>
              <w:jc w:val="center"/>
              <w:rPr>
                <w:rFonts w:cstheme="minorHAnsi"/>
                <w:b/>
                <w:sz w:val="20"/>
                <w:szCs w:val="20"/>
              </w:rPr>
            </w:pPr>
            <w:r w:rsidRPr="00361B86">
              <w:rPr>
                <w:rFonts w:cstheme="minorHAnsi"/>
                <w:b/>
                <w:sz w:val="20"/>
                <w:szCs w:val="20"/>
              </w:rPr>
              <w:t xml:space="preserve">Start </w:t>
            </w:r>
            <w:r w:rsidR="008A1E02" w:rsidRPr="00361B86">
              <w:rPr>
                <w:rFonts w:cstheme="minorHAnsi"/>
                <w:b/>
                <w:sz w:val="20"/>
                <w:szCs w:val="20"/>
              </w:rPr>
              <w:t>Date</w:t>
            </w:r>
          </w:p>
        </w:tc>
        <w:tc>
          <w:tcPr>
            <w:tcW w:w="5900" w:type="dxa"/>
            <w:tcBorders>
              <w:top w:val="single" w:sz="4" w:space="0" w:color="auto"/>
            </w:tcBorders>
            <w:vAlign w:val="center"/>
          </w:tcPr>
          <w:p w:rsidR="008A1E02" w:rsidRPr="00361B86" w:rsidRDefault="008A1E02" w:rsidP="00461AD9">
            <w:pPr>
              <w:jc w:val="center"/>
              <w:rPr>
                <w:rFonts w:cstheme="minorHAnsi"/>
                <w:b/>
                <w:sz w:val="20"/>
                <w:szCs w:val="20"/>
              </w:rPr>
            </w:pPr>
            <w:r w:rsidRPr="00361B86">
              <w:rPr>
                <w:rFonts w:cstheme="minorHAnsi"/>
                <w:b/>
                <w:sz w:val="20"/>
                <w:szCs w:val="20"/>
              </w:rPr>
              <w:t>Customer</w:t>
            </w:r>
            <w:r w:rsidR="00461AD9" w:rsidRPr="00361B86">
              <w:rPr>
                <w:rFonts w:cstheme="minorHAnsi"/>
                <w:b/>
                <w:sz w:val="20"/>
                <w:szCs w:val="20"/>
              </w:rPr>
              <w:t xml:space="preserve"> </w:t>
            </w:r>
            <w:r w:rsidR="00B10527" w:rsidRPr="00361B86">
              <w:rPr>
                <w:rFonts w:cstheme="minorHAnsi"/>
                <w:b/>
                <w:sz w:val="20"/>
                <w:szCs w:val="20"/>
              </w:rPr>
              <w:t>Benefit</w:t>
            </w:r>
            <w:r w:rsidR="00461AD9" w:rsidRPr="00361B86">
              <w:rPr>
                <w:rFonts w:cstheme="minorHAnsi"/>
                <w:b/>
                <w:sz w:val="20"/>
                <w:szCs w:val="20"/>
              </w:rPr>
              <w:t>s</w:t>
            </w:r>
          </w:p>
        </w:tc>
      </w:tr>
      <w:tr w:rsidR="00982924" w:rsidRPr="00B83FA4" w:rsidTr="00361B86">
        <w:tc>
          <w:tcPr>
            <w:tcW w:w="1530" w:type="dxa"/>
            <w:shd w:val="clear" w:color="auto" w:fill="E4EEF8"/>
          </w:tcPr>
          <w:p w:rsidR="00982924" w:rsidRPr="00361B86" w:rsidRDefault="00982924" w:rsidP="008C651B">
            <w:pPr>
              <w:jc w:val="center"/>
              <w:rPr>
                <w:rFonts w:cstheme="minorHAnsi"/>
                <w:sz w:val="20"/>
                <w:szCs w:val="20"/>
              </w:rPr>
            </w:pPr>
            <w:r w:rsidRPr="00361B86">
              <w:rPr>
                <w:rFonts w:cstheme="minorHAnsi"/>
                <w:sz w:val="20"/>
                <w:szCs w:val="20"/>
              </w:rPr>
              <w:t># 6</w:t>
            </w:r>
          </w:p>
        </w:tc>
        <w:tc>
          <w:tcPr>
            <w:tcW w:w="1890" w:type="dxa"/>
            <w:shd w:val="clear" w:color="auto" w:fill="E4EEF8"/>
          </w:tcPr>
          <w:p w:rsidR="00982924" w:rsidRPr="00361B86" w:rsidRDefault="00982924" w:rsidP="008C651B">
            <w:pPr>
              <w:rPr>
                <w:rFonts w:cstheme="minorHAnsi"/>
                <w:sz w:val="18"/>
                <w:szCs w:val="18"/>
              </w:rPr>
            </w:pPr>
            <w:r w:rsidRPr="00361B86">
              <w:rPr>
                <w:rFonts w:cstheme="minorHAnsi"/>
                <w:sz w:val="18"/>
                <w:szCs w:val="18"/>
              </w:rPr>
              <w:t>Automatic Usage Notification Alerts</w:t>
            </w:r>
          </w:p>
        </w:tc>
        <w:tc>
          <w:tcPr>
            <w:tcW w:w="1170" w:type="dxa"/>
            <w:shd w:val="clear" w:color="auto" w:fill="E4EEF8"/>
          </w:tcPr>
          <w:p w:rsidR="00982924" w:rsidRPr="00361B86" w:rsidRDefault="00982924" w:rsidP="008C651B">
            <w:pPr>
              <w:rPr>
                <w:rFonts w:cstheme="minorHAnsi"/>
                <w:b/>
                <w:sz w:val="18"/>
                <w:szCs w:val="18"/>
              </w:rPr>
            </w:pPr>
            <w:r w:rsidRPr="00361B86">
              <w:rPr>
                <w:rFonts w:cstheme="minorHAnsi"/>
                <w:b/>
                <w:sz w:val="18"/>
                <w:szCs w:val="18"/>
              </w:rPr>
              <w:t>2020</w:t>
            </w:r>
          </w:p>
          <w:p w:rsidR="00982924" w:rsidRPr="00361B86" w:rsidRDefault="00982924" w:rsidP="008C651B">
            <w:pPr>
              <w:rPr>
                <w:rFonts w:cstheme="minorHAnsi"/>
                <w:sz w:val="18"/>
                <w:szCs w:val="18"/>
              </w:rPr>
            </w:pPr>
            <w:r w:rsidRPr="00361B86">
              <w:rPr>
                <w:rFonts w:cstheme="minorHAnsi"/>
                <w:b/>
                <w:sz w:val="18"/>
                <w:szCs w:val="18"/>
              </w:rPr>
              <w:t>October 18</w:t>
            </w:r>
          </w:p>
        </w:tc>
        <w:tc>
          <w:tcPr>
            <w:tcW w:w="5900" w:type="dxa"/>
            <w:shd w:val="clear" w:color="auto" w:fill="E4EEF8"/>
          </w:tcPr>
          <w:p w:rsidR="00982924" w:rsidRPr="00361B86" w:rsidRDefault="00982924" w:rsidP="00982924">
            <w:pPr>
              <w:rPr>
                <w:rFonts w:cstheme="minorHAnsi"/>
                <w:sz w:val="18"/>
                <w:szCs w:val="18"/>
              </w:rPr>
            </w:pPr>
            <w:r w:rsidRPr="00361B86">
              <w:rPr>
                <w:rFonts w:cstheme="minorHAnsi"/>
                <w:sz w:val="18"/>
                <w:szCs w:val="18"/>
              </w:rPr>
              <w:t>Mobile phone customers receive alerts to make them aware of usage levels prior to reaching maximum limits</w:t>
            </w:r>
            <w:r w:rsidR="00910CD2" w:rsidRPr="00361B86">
              <w:rPr>
                <w:rFonts w:cstheme="minorHAnsi"/>
                <w:sz w:val="18"/>
                <w:szCs w:val="18"/>
              </w:rPr>
              <w:t>.</w:t>
            </w:r>
          </w:p>
        </w:tc>
      </w:tr>
      <w:tr w:rsidR="00600BA8" w:rsidRPr="00B83FA4" w:rsidTr="00361B86">
        <w:tc>
          <w:tcPr>
            <w:tcW w:w="1530" w:type="dxa"/>
            <w:shd w:val="clear" w:color="auto" w:fill="FFFFFF" w:themeFill="background1"/>
          </w:tcPr>
          <w:p w:rsidR="00180028" w:rsidRPr="00361B86" w:rsidRDefault="00180028" w:rsidP="00DA111F">
            <w:pPr>
              <w:jc w:val="center"/>
              <w:rPr>
                <w:rFonts w:cstheme="minorHAnsi"/>
                <w:sz w:val="20"/>
                <w:szCs w:val="20"/>
              </w:rPr>
            </w:pPr>
            <w:r w:rsidRPr="00361B86">
              <w:rPr>
                <w:rFonts w:cstheme="minorHAnsi"/>
                <w:sz w:val="20"/>
                <w:szCs w:val="20"/>
              </w:rPr>
              <w:t># 5</w:t>
            </w:r>
          </w:p>
        </w:tc>
        <w:tc>
          <w:tcPr>
            <w:tcW w:w="1890" w:type="dxa"/>
            <w:shd w:val="clear" w:color="auto" w:fill="FFFFFF" w:themeFill="background1"/>
          </w:tcPr>
          <w:p w:rsidR="00180028" w:rsidRPr="00361B86" w:rsidRDefault="00180028" w:rsidP="00AB273D">
            <w:pPr>
              <w:rPr>
                <w:rFonts w:cstheme="minorHAnsi"/>
                <w:sz w:val="18"/>
                <w:szCs w:val="18"/>
              </w:rPr>
            </w:pPr>
            <w:r w:rsidRPr="00361B86">
              <w:rPr>
                <w:rFonts w:cstheme="minorHAnsi"/>
                <w:sz w:val="18"/>
                <w:szCs w:val="18"/>
              </w:rPr>
              <w:t>Establishment of Financial Caps</w:t>
            </w:r>
            <w:r w:rsidR="00AB273D" w:rsidRPr="00361B86">
              <w:rPr>
                <w:rFonts w:cstheme="minorHAnsi"/>
                <w:sz w:val="18"/>
                <w:szCs w:val="18"/>
              </w:rPr>
              <w:t>. (roaming services excluded)</w:t>
            </w:r>
            <w:r w:rsidR="00982924" w:rsidRPr="00361B86">
              <w:rPr>
                <w:rFonts w:cstheme="minorHAnsi"/>
                <w:sz w:val="18"/>
                <w:szCs w:val="18"/>
              </w:rPr>
              <w:t xml:space="preserve"> </w:t>
            </w:r>
          </w:p>
        </w:tc>
        <w:tc>
          <w:tcPr>
            <w:tcW w:w="1170" w:type="dxa"/>
            <w:shd w:val="clear" w:color="auto" w:fill="FFFFFF" w:themeFill="background1"/>
          </w:tcPr>
          <w:p w:rsidR="00B10527" w:rsidRPr="00361B86" w:rsidRDefault="00180028" w:rsidP="00AC5F62">
            <w:pPr>
              <w:rPr>
                <w:rFonts w:cstheme="minorHAnsi"/>
                <w:b/>
                <w:sz w:val="18"/>
                <w:szCs w:val="18"/>
              </w:rPr>
            </w:pPr>
            <w:r w:rsidRPr="00361B86">
              <w:rPr>
                <w:rFonts w:cstheme="minorHAnsi"/>
                <w:b/>
                <w:sz w:val="18"/>
                <w:szCs w:val="18"/>
              </w:rPr>
              <w:t xml:space="preserve">2020 </w:t>
            </w:r>
          </w:p>
          <w:p w:rsidR="00180028" w:rsidRPr="00361B86" w:rsidRDefault="00180028" w:rsidP="00AC5F62">
            <w:pPr>
              <w:rPr>
                <w:rFonts w:cstheme="minorHAnsi"/>
                <w:sz w:val="18"/>
                <w:szCs w:val="18"/>
              </w:rPr>
            </w:pPr>
            <w:r w:rsidRPr="00361B86">
              <w:rPr>
                <w:rFonts w:cstheme="minorHAnsi"/>
                <w:b/>
                <w:sz w:val="18"/>
                <w:szCs w:val="18"/>
              </w:rPr>
              <w:t>October 18</w:t>
            </w:r>
          </w:p>
        </w:tc>
        <w:tc>
          <w:tcPr>
            <w:tcW w:w="5900" w:type="dxa"/>
            <w:shd w:val="clear" w:color="auto" w:fill="FFFFFF" w:themeFill="background1"/>
          </w:tcPr>
          <w:p w:rsidR="00180028" w:rsidRPr="00361B86" w:rsidRDefault="00ED57CD" w:rsidP="00ED57CD">
            <w:pPr>
              <w:rPr>
                <w:rFonts w:cstheme="minorHAnsi"/>
                <w:sz w:val="18"/>
                <w:szCs w:val="18"/>
              </w:rPr>
            </w:pPr>
            <w:r w:rsidRPr="00361B86">
              <w:rPr>
                <w:rFonts w:cstheme="minorHAnsi"/>
                <w:sz w:val="18"/>
                <w:szCs w:val="18"/>
              </w:rPr>
              <w:t>P</w:t>
            </w:r>
            <w:r w:rsidR="00B10527" w:rsidRPr="00361B86">
              <w:rPr>
                <w:rFonts w:cstheme="minorHAnsi"/>
                <w:sz w:val="18"/>
                <w:szCs w:val="18"/>
              </w:rPr>
              <w:t>ost-paid, customer</w:t>
            </w:r>
            <w:r w:rsidR="00180028" w:rsidRPr="00361B86">
              <w:rPr>
                <w:rFonts w:cstheme="minorHAnsi"/>
                <w:sz w:val="18"/>
                <w:szCs w:val="18"/>
              </w:rPr>
              <w:t xml:space="preserve">s </w:t>
            </w:r>
            <w:r w:rsidR="00B10527" w:rsidRPr="00361B86">
              <w:rPr>
                <w:rFonts w:cstheme="minorHAnsi"/>
                <w:sz w:val="18"/>
                <w:szCs w:val="18"/>
              </w:rPr>
              <w:t>will be able to</w:t>
            </w:r>
            <w:r w:rsidR="00180028" w:rsidRPr="00361B86">
              <w:rPr>
                <w:rFonts w:cstheme="minorHAnsi"/>
                <w:sz w:val="18"/>
                <w:szCs w:val="18"/>
              </w:rPr>
              <w:t xml:space="preserve"> set financial caps (spending limits) t</w:t>
            </w:r>
            <w:r w:rsidR="00B10527" w:rsidRPr="00361B86">
              <w:rPr>
                <w:rFonts w:cstheme="minorHAnsi"/>
                <w:sz w:val="18"/>
                <w:szCs w:val="18"/>
              </w:rPr>
              <w:t>hat</w:t>
            </w:r>
            <w:r w:rsidR="00180028" w:rsidRPr="00361B86">
              <w:rPr>
                <w:rFonts w:cstheme="minorHAnsi"/>
                <w:sz w:val="18"/>
                <w:szCs w:val="18"/>
              </w:rPr>
              <w:t xml:space="preserve"> </w:t>
            </w:r>
            <w:r w:rsidR="00AF5ACA" w:rsidRPr="00361B86">
              <w:rPr>
                <w:rFonts w:cstheme="minorHAnsi"/>
                <w:sz w:val="18"/>
                <w:szCs w:val="18"/>
              </w:rPr>
              <w:t>will enable them to better manage the expenses associated with the use of the service.</w:t>
            </w:r>
          </w:p>
        </w:tc>
      </w:tr>
      <w:tr w:rsidR="00180028" w:rsidRPr="00B83FA4" w:rsidTr="00361B86">
        <w:tc>
          <w:tcPr>
            <w:tcW w:w="1530" w:type="dxa"/>
            <w:shd w:val="clear" w:color="auto" w:fill="003399"/>
          </w:tcPr>
          <w:p w:rsidR="00180028" w:rsidRPr="00361B86" w:rsidRDefault="00180028" w:rsidP="00DA111F">
            <w:pPr>
              <w:jc w:val="center"/>
              <w:rPr>
                <w:rFonts w:cstheme="minorHAnsi"/>
                <w:sz w:val="20"/>
                <w:szCs w:val="20"/>
              </w:rPr>
            </w:pPr>
          </w:p>
        </w:tc>
        <w:tc>
          <w:tcPr>
            <w:tcW w:w="1890" w:type="dxa"/>
            <w:shd w:val="clear" w:color="auto" w:fill="003399"/>
          </w:tcPr>
          <w:p w:rsidR="00180028" w:rsidRPr="00361B86" w:rsidRDefault="00180028" w:rsidP="00DA111F">
            <w:pPr>
              <w:rPr>
                <w:rFonts w:cstheme="minorHAnsi"/>
                <w:sz w:val="18"/>
                <w:szCs w:val="18"/>
              </w:rPr>
            </w:pPr>
          </w:p>
        </w:tc>
        <w:tc>
          <w:tcPr>
            <w:tcW w:w="1170" w:type="dxa"/>
            <w:shd w:val="clear" w:color="auto" w:fill="003399"/>
          </w:tcPr>
          <w:p w:rsidR="00180028" w:rsidRPr="00361B86" w:rsidRDefault="00180028" w:rsidP="00DA111F">
            <w:pPr>
              <w:rPr>
                <w:rFonts w:cstheme="minorHAnsi"/>
                <w:sz w:val="18"/>
                <w:szCs w:val="18"/>
              </w:rPr>
            </w:pPr>
          </w:p>
        </w:tc>
        <w:tc>
          <w:tcPr>
            <w:tcW w:w="5900" w:type="dxa"/>
            <w:shd w:val="clear" w:color="auto" w:fill="003399"/>
          </w:tcPr>
          <w:p w:rsidR="00180028" w:rsidRPr="00361B86" w:rsidRDefault="00180028" w:rsidP="00DA111F">
            <w:pPr>
              <w:rPr>
                <w:rFonts w:cstheme="minorHAnsi"/>
                <w:sz w:val="18"/>
                <w:szCs w:val="18"/>
              </w:rPr>
            </w:pPr>
          </w:p>
        </w:tc>
      </w:tr>
      <w:tr w:rsidR="00614C63" w:rsidRPr="00B83FA4" w:rsidTr="00361B86">
        <w:tc>
          <w:tcPr>
            <w:tcW w:w="1530" w:type="dxa"/>
            <w:shd w:val="clear" w:color="auto" w:fill="E4EEF8"/>
          </w:tcPr>
          <w:p w:rsidR="008A1E02" w:rsidRPr="00361B86" w:rsidRDefault="008A1E02" w:rsidP="008A1E02">
            <w:pPr>
              <w:jc w:val="center"/>
              <w:rPr>
                <w:rFonts w:cstheme="minorHAnsi"/>
                <w:sz w:val="20"/>
                <w:szCs w:val="20"/>
              </w:rPr>
            </w:pPr>
            <w:r w:rsidRPr="00361B86">
              <w:rPr>
                <w:rFonts w:cstheme="minorHAnsi"/>
                <w:sz w:val="20"/>
                <w:szCs w:val="20"/>
              </w:rPr>
              <w:t># 1</w:t>
            </w:r>
          </w:p>
        </w:tc>
        <w:tc>
          <w:tcPr>
            <w:tcW w:w="1890" w:type="dxa"/>
            <w:shd w:val="clear" w:color="auto" w:fill="E4EEF8"/>
          </w:tcPr>
          <w:p w:rsidR="008A1E02" w:rsidRPr="00361B86" w:rsidRDefault="008A1E02" w:rsidP="00024EAC">
            <w:pPr>
              <w:rPr>
                <w:rFonts w:cstheme="minorHAnsi"/>
                <w:sz w:val="18"/>
                <w:szCs w:val="18"/>
              </w:rPr>
            </w:pPr>
            <w:r w:rsidRPr="00361B86">
              <w:rPr>
                <w:rFonts w:cstheme="minorHAnsi"/>
                <w:sz w:val="18"/>
                <w:szCs w:val="18"/>
              </w:rPr>
              <w:t>General Provision of Information on a Service</w:t>
            </w:r>
            <w:r w:rsidR="00024EAC" w:rsidRPr="00361B86">
              <w:rPr>
                <w:rFonts w:cstheme="minorHAnsi"/>
                <w:sz w:val="18"/>
                <w:szCs w:val="18"/>
              </w:rPr>
              <w:t>:</w:t>
            </w:r>
            <w:r w:rsidRPr="00361B86">
              <w:rPr>
                <w:rFonts w:cstheme="minorHAnsi"/>
                <w:sz w:val="18"/>
                <w:szCs w:val="18"/>
              </w:rPr>
              <w:t xml:space="preserve"> Bundled/Unbundled</w:t>
            </w:r>
          </w:p>
        </w:tc>
        <w:tc>
          <w:tcPr>
            <w:tcW w:w="1170" w:type="dxa"/>
            <w:shd w:val="clear" w:color="auto" w:fill="E4EEF8"/>
          </w:tcPr>
          <w:p w:rsidR="00B10527" w:rsidRPr="00361B86" w:rsidRDefault="008A1E02" w:rsidP="00AC5F62">
            <w:pPr>
              <w:rPr>
                <w:rFonts w:cstheme="minorHAnsi"/>
                <w:b/>
                <w:sz w:val="18"/>
                <w:szCs w:val="18"/>
              </w:rPr>
            </w:pPr>
            <w:r w:rsidRPr="00361B86">
              <w:rPr>
                <w:rFonts w:cstheme="minorHAnsi"/>
                <w:b/>
                <w:sz w:val="18"/>
                <w:szCs w:val="18"/>
              </w:rPr>
              <w:t xml:space="preserve">2020 </w:t>
            </w:r>
          </w:p>
          <w:p w:rsidR="008A1E02" w:rsidRPr="00361B86" w:rsidRDefault="00614C63" w:rsidP="00AC5F62">
            <w:pPr>
              <w:rPr>
                <w:rFonts w:cstheme="minorHAnsi"/>
                <w:sz w:val="18"/>
                <w:szCs w:val="18"/>
              </w:rPr>
            </w:pPr>
            <w:r w:rsidRPr="00361B86">
              <w:rPr>
                <w:rFonts w:cstheme="minorHAnsi"/>
                <w:b/>
                <w:sz w:val="18"/>
                <w:szCs w:val="18"/>
              </w:rPr>
              <w:t xml:space="preserve">December </w:t>
            </w:r>
            <w:r w:rsidR="008A1E02" w:rsidRPr="00361B86">
              <w:rPr>
                <w:rFonts w:cstheme="minorHAnsi"/>
                <w:b/>
                <w:sz w:val="18"/>
                <w:szCs w:val="18"/>
              </w:rPr>
              <w:t>18</w:t>
            </w:r>
          </w:p>
        </w:tc>
        <w:tc>
          <w:tcPr>
            <w:tcW w:w="5900" w:type="dxa"/>
            <w:shd w:val="clear" w:color="auto" w:fill="E4EEF8"/>
          </w:tcPr>
          <w:p w:rsidR="008A1E02" w:rsidRPr="00361B86" w:rsidRDefault="00910CD2" w:rsidP="00910CD2">
            <w:pPr>
              <w:rPr>
                <w:rFonts w:cstheme="minorHAnsi"/>
                <w:sz w:val="18"/>
                <w:szCs w:val="18"/>
              </w:rPr>
            </w:pPr>
            <w:r w:rsidRPr="00361B86">
              <w:rPr>
                <w:rFonts w:cstheme="minorHAnsi"/>
                <w:sz w:val="18"/>
                <w:szCs w:val="18"/>
              </w:rPr>
              <w:t>C</w:t>
            </w:r>
            <w:r w:rsidR="00024EAC" w:rsidRPr="00361B86">
              <w:rPr>
                <w:rFonts w:cstheme="minorHAnsi"/>
                <w:sz w:val="18"/>
                <w:szCs w:val="18"/>
              </w:rPr>
              <w:t xml:space="preserve">learly stated </w:t>
            </w:r>
            <w:r w:rsidR="008A1E02" w:rsidRPr="00361B86">
              <w:rPr>
                <w:rFonts w:cstheme="minorHAnsi"/>
                <w:sz w:val="18"/>
                <w:szCs w:val="18"/>
              </w:rPr>
              <w:t xml:space="preserve">current prices and </w:t>
            </w:r>
            <w:r w:rsidR="00982924" w:rsidRPr="00361B86">
              <w:rPr>
                <w:rFonts w:cstheme="minorHAnsi"/>
                <w:sz w:val="18"/>
                <w:szCs w:val="18"/>
              </w:rPr>
              <w:t xml:space="preserve">all applicable </w:t>
            </w:r>
            <w:r w:rsidR="008A1E02" w:rsidRPr="00361B86">
              <w:rPr>
                <w:rFonts w:cstheme="minorHAnsi"/>
                <w:sz w:val="18"/>
                <w:szCs w:val="18"/>
              </w:rPr>
              <w:t>charges, a</w:t>
            </w:r>
            <w:r w:rsidR="003A6EDD" w:rsidRPr="00361B86">
              <w:rPr>
                <w:rFonts w:cstheme="minorHAnsi"/>
                <w:sz w:val="18"/>
                <w:szCs w:val="18"/>
              </w:rPr>
              <w:t xml:space="preserve">s well as </w:t>
            </w:r>
            <w:r w:rsidR="00024EAC" w:rsidRPr="00361B86">
              <w:rPr>
                <w:rFonts w:cstheme="minorHAnsi"/>
                <w:sz w:val="18"/>
                <w:szCs w:val="18"/>
              </w:rPr>
              <w:t xml:space="preserve">full </w:t>
            </w:r>
            <w:r w:rsidR="003A6EDD" w:rsidRPr="00361B86">
              <w:rPr>
                <w:rFonts w:cstheme="minorHAnsi"/>
                <w:sz w:val="18"/>
                <w:szCs w:val="18"/>
              </w:rPr>
              <w:t>contract details t</w:t>
            </w:r>
            <w:r w:rsidR="00024EAC" w:rsidRPr="00361B86">
              <w:rPr>
                <w:rFonts w:cstheme="minorHAnsi"/>
                <w:sz w:val="18"/>
                <w:szCs w:val="18"/>
              </w:rPr>
              <w:t>hat must</w:t>
            </w:r>
            <w:r w:rsidR="003A6EDD" w:rsidRPr="00361B86">
              <w:rPr>
                <w:rFonts w:cstheme="minorHAnsi"/>
                <w:sz w:val="18"/>
                <w:szCs w:val="18"/>
              </w:rPr>
              <w:t xml:space="preserve"> include </w:t>
            </w:r>
            <w:r w:rsidR="008A1E02" w:rsidRPr="00361B86">
              <w:rPr>
                <w:rFonts w:cstheme="minorHAnsi"/>
                <w:sz w:val="18"/>
                <w:szCs w:val="18"/>
              </w:rPr>
              <w:t xml:space="preserve">all pertinent information such as </w:t>
            </w:r>
            <w:r w:rsidR="00024EAC" w:rsidRPr="00361B86">
              <w:rPr>
                <w:rFonts w:cstheme="minorHAnsi"/>
                <w:sz w:val="18"/>
                <w:szCs w:val="18"/>
              </w:rPr>
              <w:t xml:space="preserve">caps, exclusions, limitations and </w:t>
            </w:r>
            <w:r w:rsidR="008A1E02" w:rsidRPr="00361B86">
              <w:rPr>
                <w:rFonts w:cstheme="minorHAnsi"/>
                <w:sz w:val="18"/>
                <w:szCs w:val="18"/>
              </w:rPr>
              <w:t>the duration of any fixed commitment period</w:t>
            </w:r>
            <w:r w:rsidRPr="00361B86">
              <w:rPr>
                <w:rFonts w:cstheme="minorHAnsi"/>
                <w:sz w:val="18"/>
                <w:szCs w:val="18"/>
              </w:rPr>
              <w:t>.</w:t>
            </w:r>
          </w:p>
        </w:tc>
      </w:tr>
      <w:tr w:rsidR="008A1E02" w:rsidRPr="00B83FA4" w:rsidTr="00361B86">
        <w:tc>
          <w:tcPr>
            <w:tcW w:w="1530" w:type="dxa"/>
          </w:tcPr>
          <w:p w:rsidR="008A1E02" w:rsidRPr="00361B86" w:rsidRDefault="008A1E02" w:rsidP="008A1E02">
            <w:pPr>
              <w:jc w:val="center"/>
              <w:rPr>
                <w:rFonts w:cstheme="minorHAnsi"/>
                <w:sz w:val="20"/>
                <w:szCs w:val="20"/>
              </w:rPr>
            </w:pPr>
            <w:r w:rsidRPr="00361B86">
              <w:rPr>
                <w:rFonts w:cstheme="minorHAnsi"/>
                <w:sz w:val="20"/>
                <w:szCs w:val="20"/>
              </w:rPr>
              <w:t># 2</w:t>
            </w:r>
          </w:p>
        </w:tc>
        <w:tc>
          <w:tcPr>
            <w:tcW w:w="1890" w:type="dxa"/>
          </w:tcPr>
          <w:p w:rsidR="008A1E02" w:rsidRPr="00361B86" w:rsidRDefault="008A1E02" w:rsidP="002765D0">
            <w:pPr>
              <w:rPr>
                <w:rFonts w:cstheme="minorHAnsi"/>
                <w:sz w:val="18"/>
                <w:szCs w:val="18"/>
              </w:rPr>
            </w:pPr>
            <w:r w:rsidRPr="00361B86">
              <w:rPr>
                <w:rFonts w:cstheme="minorHAnsi"/>
                <w:sz w:val="18"/>
                <w:szCs w:val="18"/>
              </w:rPr>
              <w:t>Provision of Information Pertaining to Roaming</w:t>
            </w:r>
          </w:p>
        </w:tc>
        <w:tc>
          <w:tcPr>
            <w:tcW w:w="1170" w:type="dxa"/>
          </w:tcPr>
          <w:p w:rsidR="00B10527" w:rsidRPr="00361B86" w:rsidRDefault="008A1E02" w:rsidP="00AC5F62">
            <w:pPr>
              <w:rPr>
                <w:rFonts w:cstheme="minorHAnsi"/>
                <w:b/>
                <w:sz w:val="18"/>
                <w:szCs w:val="18"/>
              </w:rPr>
            </w:pPr>
            <w:r w:rsidRPr="00361B86">
              <w:rPr>
                <w:rFonts w:cstheme="minorHAnsi"/>
                <w:b/>
                <w:sz w:val="18"/>
                <w:szCs w:val="18"/>
              </w:rPr>
              <w:t xml:space="preserve">2020 </w:t>
            </w:r>
          </w:p>
          <w:p w:rsidR="008A1E02" w:rsidRPr="00361B86" w:rsidRDefault="008A1E02" w:rsidP="00AC5F62">
            <w:pPr>
              <w:rPr>
                <w:rFonts w:cstheme="minorHAnsi"/>
                <w:sz w:val="18"/>
                <w:szCs w:val="18"/>
              </w:rPr>
            </w:pPr>
            <w:r w:rsidRPr="00361B86">
              <w:rPr>
                <w:rFonts w:cstheme="minorHAnsi"/>
                <w:b/>
                <w:sz w:val="18"/>
                <w:szCs w:val="18"/>
              </w:rPr>
              <w:t>December 18</w:t>
            </w:r>
          </w:p>
        </w:tc>
        <w:tc>
          <w:tcPr>
            <w:tcW w:w="5900" w:type="dxa"/>
          </w:tcPr>
          <w:p w:rsidR="008A1E02" w:rsidRPr="00361B86" w:rsidRDefault="008A1E02" w:rsidP="007A5C08">
            <w:pPr>
              <w:rPr>
                <w:rFonts w:cstheme="minorHAnsi"/>
                <w:sz w:val="18"/>
                <w:szCs w:val="18"/>
              </w:rPr>
            </w:pPr>
            <w:r w:rsidRPr="00361B86">
              <w:rPr>
                <w:rFonts w:cstheme="minorHAnsi"/>
                <w:sz w:val="18"/>
                <w:szCs w:val="18"/>
              </w:rPr>
              <w:t>Detailed pricing, inclusions, exclusions and restrictions on the available roaming service(s</w:t>
            </w:r>
            <w:r w:rsidR="001233D9" w:rsidRPr="00361B86">
              <w:rPr>
                <w:rFonts w:cstheme="minorHAnsi"/>
                <w:sz w:val="18"/>
                <w:szCs w:val="18"/>
              </w:rPr>
              <w:t>). Telecoms providers must indicate the risks of roaming. This must include how to turn off data and voice roaming on devices sold (or previously sold) by the utility, as well as how to deactivate voicemail.</w:t>
            </w:r>
            <w:r w:rsidR="000B7803" w:rsidRPr="00361B86">
              <w:rPr>
                <w:rFonts w:cstheme="minorHAnsi"/>
                <w:sz w:val="18"/>
                <w:szCs w:val="18"/>
              </w:rPr>
              <w:t xml:space="preserve"> Teleco</w:t>
            </w:r>
            <w:r w:rsidR="00910CD2" w:rsidRPr="00361B86">
              <w:rPr>
                <w:rFonts w:cstheme="minorHAnsi"/>
                <w:sz w:val="18"/>
                <w:szCs w:val="18"/>
              </w:rPr>
              <w:t>m</w:t>
            </w:r>
            <w:r w:rsidR="000B7803" w:rsidRPr="00361B86">
              <w:rPr>
                <w:rFonts w:cstheme="minorHAnsi"/>
                <w:sz w:val="18"/>
                <w:szCs w:val="18"/>
              </w:rPr>
              <w:t>s</w:t>
            </w:r>
            <w:r w:rsidR="00910CD2" w:rsidRPr="00361B86">
              <w:rPr>
                <w:rFonts w:cstheme="minorHAnsi"/>
                <w:sz w:val="18"/>
                <w:szCs w:val="18"/>
              </w:rPr>
              <w:t xml:space="preserve"> </w:t>
            </w:r>
            <w:r w:rsidR="007A5C08" w:rsidRPr="00361B86">
              <w:rPr>
                <w:rFonts w:cstheme="minorHAnsi"/>
                <w:sz w:val="18"/>
                <w:szCs w:val="18"/>
              </w:rPr>
              <w:t xml:space="preserve">providers </w:t>
            </w:r>
            <w:r w:rsidR="000B7803" w:rsidRPr="00361B86">
              <w:rPr>
                <w:rFonts w:cstheme="minorHAnsi"/>
                <w:sz w:val="18"/>
                <w:szCs w:val="18"/>
              </w:rPr>
              <w:t>must also provide a free-to-access contact number to allow customers to check their usage level status while roaming.</w:t>
            </w:r>
          </w:p>
        </w:tc>
      </w:tr>
      <w:tr w:rsidR="008A1E02" w:rsidRPr="00B83FA4" w:rsidTr="00361B86">
        <w:tc>
          <w:tcPr>
            <w:tcW w:w="1530" w:type="dxa"/>
            <w:shd w:val="clear" w:color="auto" w:fill="E4EEF8"/>
          </w:tcPr>
          <w:p w:rsidR="008A1E02" w:rsidRPr="00361B86" w:rsidRDefault="008A1E02" w:rsidP="008A1E02">
            <w:pPr>
              <w:jc w:val="center"/>
              <w:rPr>
                <w:rFonts w:cstheme="minorHAnsi"/>
                <w:sz w:val="20"/>
                <w:szCs w:val="20"/>
              </w:rPr>
            </w:pPr>
            <w:r w:rsidRPr="00361B86">
              <w:rPr>
                <w:rFonts w:cstheme="minorHAnsi"/>
                <w:sz w:val="20"/>
                <w:szCs w:val="20"/>
              </w:rPr>
              <w:t># 3</w:t>
            </w: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p>
          <w:p w:rsidR="00487CDE" w:rsidRPr="00361B86" w:rsidRDefault="00487CDE" w:rsidP="008A1E02">
            <w:pPr>
              <w:jc w:val="center"/>
              <w:rPr>
                <w:rFonts w:cstheme="minorHAnsi"/>
                <w:sz w:val="20"/>
                <w:szCs w:val="20"/>
              </w:rPr>
            </w:pPr>
            <w:r w:rsidRPr="00361B86">
              <w:rPr>
                <w:rFonts w:cstheme="minorHAnsi"/>
                <w:sz w:val="20"/>
                <w:szCs w:val="20"/>
              </w:rPr>
              <w:t>#3</w:t>
            </w:r>
          </w:p>
          <w:p w:rsidR="00487CDE" w:rsidRPr="00361B86" w:rsidRDefault="00487CDE" w:rsidP="008A1E02">
            <w:pPr>
              <w:jc w:val="center"/>
              <w:rPr>
                <w:rFonts w:cstheme="minorHAnsi"/>
                <w:sz w:val="20"/>
                <w:szCs w:val="20"/>
              </w:rPr>
            </w:pPr>
            <w:r w:rsidRPr="00361B86">
              <w:rPr>
                <w:rFonts w:cstheme="minorHAnsi"/>
                <w:sz w:val="20"/>
                <w:szCs w:val="20"/>
              </w:rPr>
              <w:lastRenderedPageBreak/>
              <w:t>Cont’d</w:t>
            </w:r>
          </w:p>
        </w:tc>
        <w:tc>
          <w:tcPr>
            <w:tcW w:w="1890" w:type="dxa"/>
            <w:shd w:val="clear" w:color="auto" w:fill="E4EEF8"/>
          </w:tcPr>
          <w:p w:rsidR="008A1E02" w:rsidRPr="00361B86" w:rsidRDefault="008A1E02" w:rsidP="00AB273D">
            <w:pPr>
              <w:rPr>
                <w:rFonts w:cstheme="minorHAnsi"/>
                <w:sz w:val="18"/>
                <w:szCs w:val="18"/>
              </w:rPr>
            </w:pPr>
            <w:r w:rsidRPr="00361B86">
              <w:rPr>
                <w:rFonts w:cstheme="minorHAnsi"/>
                <w:sz w:val="18"/>
                <w:szCs w:val="18"/>
              </w:rPr>
              <w:lastRenderedPageBreak/>
              <w:t>Method</w:t>
            </w:r>
            <w:r w:rsidR="00600BA8" w:rsidRPr="00361B86">
              <w:rPr>
                <w:rFonts w:cstheme="minorHAnsi"/>
                <w:sz w:val="18"/>
                <w:szCs w:val="18"/>
              </w:rPr>
              <w:t xml:space="preserve"> </w:t>
            </w:r>
            <w:r w:rsidR="00AB273D" w:rsidRPr="00361B86">
              <w:rPr>
                <w:rFonts w:cstheme="minorHAnsi"/>
                <w:sz w:val="18"/>
                <w:szCs w:val="18"/>
              </w:rPr>
              <w:t xml:space="preserve">of </w:t>
            </w:r>
            <w:r w:rsidRPr="00361B86">
              <w:rPr>
                <w:rFonts w:cstheme="minorHAnsi"/>
                <w:sz w:val="18"/>
                <w:szCs w:val="18"/>
              </w:rPr>
              <w:t>Publication of Information on Services</w:t>
            </w:r>
            <w:bookmarkStart w:id="0" w:name="_GoBack"/>
            <w:bookmarkEnd w:id="0"/>
          </w:p>
        </w:tc>
        <w:tc>
          <w:tcPr>
            <w:tcW w:w="1170" w:type="dxa"/>
            <w:shd w:val="clear" w:color="auto" w:fill="E4EEF8"/>
          </w:tcPr>
          <w:p w:rsidR="00B10527" w:rsidRPr="00361B86" w:rsidRDefault="008A1E02" w:rsidP="00AC5F62">
            <w:pPr>
              <w:rPr>
                <w:rFonts w:cstheme="minorHAnsi"/>
                <w:b/>
                <w:sz w:val="18"/>
                <w:szCs w:val="18"/>
              </w:rPr>
            </w:pPr>
            <w:r w:rsidRPr="00361B86">
              <w:rPr>
                <w:rFonts w:cstheme="minorHAnsi"/>
                <w:b/>
                <w:sz w:val="18"/>
                <w:szCs w:val="18"/>
              </w:rPr>
              <w:t xml:space="preserve">2020 </w:t>
            </w:r>
          </w:p>
          <w:p w:rsidR="008A1E02" w:rsidRPr="00361B86" w:rsidRDefault="008A1E02" w:rsidP="00AC5F62">
            <w:pPr>
              <w:rPr>
                <w:rFonts w:cstheme="minorHAnsi"/>
                <w:sz w:val="18"/>
                <w:szCs w:val="18"/>
              </w:rPr>
            </w:pPr>
            <w:r w:rsidRPr="00361B86">
              <w:rPr>
                <w:rFonts w:cstheme="minorHAnsi"/>
                <w:b/>
                <w:sz w:val="18"/>
                <w:szCs w:val="18"/>
              </w:rPr>
              <w:t>December 18</w:t>
            </w:r>
          </w:p>
        </w:tc>
        <w:tc>
          <w:tcPr>
            <w:tcW w:w="5900" w:type="dxa"/>
            <w:shd w:val="clear" w:color="auto" w:fill="E4EEF8"/>
          </w:tcPr>
          <w:p w:rsidR="00D83151" w:rsidRPr="00361B86" w:rsidRDefault="00600BA8" w:rsidP="00D83151">
            <w:pPr>
              <w:rPr>
                <w:rFonts w:cstheme="minorHAnsi"/>
                <w:sz w:val="18"/>
                <w:szCs w:val="18"/>
              </w:rPr>
            </w:pPr>
            <w:r w:rsidRPr="00361B86">
              <w:rPr>
                <w:rFonts w:cstheme="minorHAnsi"/>
                <w:sz w:val="18"/>
                <w:szCs w:val="18"/>
              </w:rPr>
              <w:t xml:space="preserve">This </w:t>
            </w:r>
            <w:r w:rsidR="001233D9" w:rsidRPr="00361B86">
              <w:rPr>
                <w:rFonts w:cstheme="minorHAnsi"/>
                <w:sz w:val="18"/>
                <w:szCs w:val="18"/>
              </w:rPr>
              <w:t>relates to</w:t>
            </w:r>
            <w:r w:rsidRPr="00361B86">
              <w:rPr>
                <w:rFonts w:cstheme="minorHAnsi"/>
                <w:sz w:val="18"/>
                <w:szCs w:val="18"/>
              </w:rPr>
              <w:t xml:space="preserve"> Det</w:t>
            </w:r>
            <w:r w:rsidR="00411A39" w:rsidRPr="00361B86">
              <w:rPr>
                <w:rFonts w:cstheme="minorHAnsi"/>
                <w:sz w:val="18"/>
                <w:szCs w:val="18"/>
              </w:rPr>
              <w:t>ermination Notices</w:t>
            </w:r>
            <w:r w:rsidRPr="00361B86">
              <w:rPr>
                <w:rFonts w:cstheme="minorHAnsi"/>
                <w:sz w:val="18"/>
                <w:szCs w:val="18"/>
              </w:rPr>
              <w:t xml:space="preserve"> #1 &amp; #2: </w:t>
            </w:r>
            <w:r w:rsidR="00A90B8A" w:rsidRPr="00361B86">
              <w:rPr>
                <w:rFonts w:cstheme="minorHAnsi"/>
                <w:sz w:val="18"/>
                <w:szCs w:val="18"/>
              </w:rPr>
              <w:t>Where a service may be purchased through electronic means (e</w:t>
            </w:r>
            <w:r w:rsidR="008D600E" w:rsidRPr="00361B86">
              <w:rPr>
                <w:rFonts w:cstheme="minorHAnsi"/>
                <w:sz w:val="18"/>
                <w:szCs w:val="18"/>
              </w:rPr>
              <w:t>.g.</w:t>
            </w:r>
            <w:r w:rsidR="00A90B8A" w:rsidRPr="00361B86">
              <w:rPr>
                <w:rFonts w:cstheme="minorHAnsi"/>
                <w:sz w:val="18"/>
                <w:szCs w:val="18"/>
              </w:rPr>
              <w:t>: an App), then i</w:t>
            </w:r>
            <w:r w:rsidRPr="00361B86">
              <w:rPr>
                <w:rFonts w:cstheme="minorHAnsi"/>
                <w:sz w:val="18"/>
                <w:szCs w:val="18"/>
              </w:rPr>
              <w:t>nformation</w:t>
            </w:r>
            <w:r w:rsidR="00A90B8A" w:rsidRPr="00361B86">
              <w:rPr>
                <w:rFonts w:cstheme="minorHAnsi"/>
                <w:sz w:val="18"/>
                <w:szCs w:val="18"/>
              </w:rPr>
              <w:t xml:space="preserve"> </w:t>
            </w:r>
            <w:r w:rsidR="009B1050" w:rsidRPr="00361B86">
              <w:rPr>
                <w:rFonts w:cstheme="minorHAnsi"/>
                <w:sz w:val="18"/>
                <w:szCs w:val="18"/>
              </w:rPr>
              <w:t>–</w:t>
            </w:r>
            <w:r w:rsidR="00A90B8A" w:rsidRPr="00361B86">
              <w:rPr>
                <w:rFonts w:cstheme="minorHAnsi"/>
                <w:sz w:val="18"/>
                <w:szCs w:val="18"/>
              </w:rPr>
              <w:t xml:space="preserve"> </w:t>
            </w:r>
            <w:r w:rsidRPr="00361B86">
              <w:rPr>
                <w:rFonts w:cstheme="minorHAnsi"/>
                <w:sz w:val="18"/>
                <w:szCs w:val="18"/>
              </w:rPr>
              <w:t>in plain English</w:t>
            </w:r>
            <w:r w:rsidR="00A90B8A" w:rsidRPr="00361B86">
              <w:rPr>
                <w:rFonts w:cstheme="minorHAnsi"/>
                <w:sz w:val="18"/>
                <w:szCs w:val="18"/>
              </w:rPr>
              <w:t xml:space="preserve"> – must be provided on that electronic platform prior to a customer’s purchase. Information must </w:t>
            </w:r>
            <w:r w:rsidRPr="00361B86">
              <w:rPr>
                <w:rFonts w:cstheme="minorHAnsi"/>
                <w:sz w:val="18"/>
                <w:szCs w:val="18"/>
              </w:rPr>
              <w:t>c</w:t>
            </w:r>
            <w:r w:rsidR="00A90B8A" w:rsidRPr="00361B86">
              <w:rPr>
                <w:rFonts w:cstheme="minorHAnsi"/>
                <w:sz w:val="18"/>
                <w:szCs w:val="18"/>
              </w:rPr>
              <w:t>lear</w:t>
            </w:r>
            <w:r w:rsidR="00D83151" w:rsidRPr="00361B86">
              <w:rPr>
                <w:rFonts w:cstheme="minorHAnsi"/>
                <w:sz w:val="18"/>
                <w:szCs w:val="18"/>
              </w:rPr>
              <w:t>ly indicate</w:t>
            </w:r>
            <w:r w:rsidR="00A90B8A" w:rsidRPr="00361B86">
              <w:rPr>
                <w:rFonts w:cstheme="minorHAnsi"/>
                <w:sz w:val="18"/>
                <w:szCs w:val="18"/>
              </w:rPr>
              <w:t xml:space="preserve"> all service/plan </w:t>
            </w:r>
            <w:r w:rsidR="008A1E02" w:rsidRPr="00361B86">
              <w:rPr>
                <w:rFonts w:cstheme="minorHAnsi"/>
                <w:sz w:val="18"/>
                <w:szCs w:val="18"/>
              </w:rPr>
              <w:t>options, included benefits, product limitations</w:t>
            </w:r>
            <w:r w:rsidR="001B255D" w:rsidRPr="00361B86">
              <w:rPr>
                <w:rFonts w:cstheme="minorHAnsi"/>
                <w:sz w:val="18"/>
                <w:szCs w:val="18"/>
              </w:rPr>
              <w:t xml:space="preserve"> and </w:t>
            </w:r>
            <w:r w:rsidR="008A1E02" w:rsidRPr="00361B86">
              <w:rPr>
                <w:rFonts w:cstheme="minorHAnsi"/>
                <w:sz w:val="18"/>
                <w:szCs w:val="18"/>
              </w:rPr>
              <w:t>exclusions</w:t>
            </w:r>
            <w:r w:rsidR="00D83151" w:rsidRPr="00361B86">
              <w:rPr>
                <w:rFonts w:cstheme="minorHAnsi"/>
                <w:sz w:val="18"/>
                <w:szCs w:val="18"/>
              </w:rPr>
              <w:t xml:space="preserve">. </w:t>
            </w:r>
          </w:p>
          <w:p w:rsidR="00D83151" w:rsidRPr="00361B86" w:rsidRDefault="00D83151" w:rsidP="00D83151">
            <w:pPr>
              <w:rPr>
                <w:rFonts w:cstheme="minorHAnsi"/>
                <w:sz w:val="18"/>
                <w:szCs w:val="18"/>
              </w:rPr>
            </w:pPr>
          </w:p>
          <w:p w:rsidR="008A1E02" w:rsidRPr="00361B86" w:rsidRDefault="00D83151" w:rsidP="00D83151">
            <w:pPr>
              <w:rPr>
                <w:rFonts w:cstheme="minorHAnsi"/>
                <w:sz w:val="18"/>
                <w:szCs w:val="18"/>
              </w:rPr>
            </w:pPr>
            <w:r w:rsidRPr="00361B86">
              <w:rPr>
                <w:rFonts w:cstheme="minorHAnsi"/>
                <w:sz w:val="18"/>
                <w:szCs w:val="18"/>
              </w:rPr>
              <w:t>Persons who choose not to use the electronic platform must be provided with all such information in a manner agreed to by the potential customer.</w:t>
            </w:r>
          </w:p>
          <w:p w:rsidR="00D83151" w:rsidRPr="00361B86" w:rsidRDefault="00D83151" w:rsidP="00D83151">
            <w:pPr>
              <w:rPr>
                <w:rFonts w:cstheme="minorHAnsi"/>
                <w:sz w:val="18"/>
                <w:szCs w:val="18"/>
              </w:rPr>
            </w:pPr>
          </w:p>
          <w:p w:rsidR="00D83151" w:rsidRPr="00361B86" w:rsidRDefault="00D54F47" w:rsidP="0080570B">
            <w:pPr>
              <w:rPr>
                <w:rFonts w:cstheme="minorHAnsi"/>
                <w:sz w:val="18"/>
                <w:szCs w:val="18"/>
              </w:rPr>
            </w:pPr>
            <w:r w:rsidRPr="00361B86">
              <w:rPr>
                <w:rFonts w:cstheme="minorHAnsi"/>
                <w:sz w:val="18"/>
                <w:szCs w:val="18"/>
              </w:rPr>
              <w:t>Telecoms</w:t>
            </w:r>
            <w:r w:rsidR="00D83151" w:rsidRPr="00361B86">
              <w:rPr>
                <w:rFonts w:cstheme="minorHAnsi"/>
                <w:sz w:val="18"/>
                <w:szCs w:val="18"/>
              </w:rPr>
              <w:t xml:space="preserve"> providers must promote services specifically available for persons</w:t>
            </w:r>
            <w:r w:rsidR="0080570B" w:rsidRPr="00361B86">
              <w:rPr>
                <w:rFonts w:cstheme="minorHAnsi"/>
                <w:sz w:val="18"/>
                <w:szCs w:val="18"/>
              </w:rPr>
              <w:t xml:space="preserve"> with disabilities</w:t>
            </w:r>
            <w:r w:rsidR="00D83151" w:rsidRPr="00361B86">
              <w:rPr>
                <w:rFonts w:cstheme="minorHAnsi"/>
                <w:sz w:val="18"/>
                <w:szCs w:val="18"/>
              </w:rPr>
              <w:t>, and how the</w:t>
            </w:r>
            <w:r w:rsidRPr="00361B86">
              <w:rPr>
                <w:rFonts w:cstheme="minorHAnsi"/>
                <w:sz w:val="18"/>
                <w:szCs w:val="18"/>
              </w:rPr>
              <w:t>y can access such services</w:t>
            </w:r>
            <w:r w:rsidR="00D83151" w:rsidRPr="00361B86">
              <w:rPr>
                <w:rFonts w:cstheme="minorHAnsi"/>
                <w:sz w:val="18"/>
                <w:szCs w:val="18"/>
              </w:rPr>
              <w:t>.</w:t>
            </w:r>
          </w:p>
        </w:tc>
      </w:tr>
      <w:tr w:rsidR="008A1E02" w:rsidRPr="00B83FA4" w:rsidTr="00361B86">
        <w:tc>
          <w:tcPr>
            <w:tcW w:w="1530" w:type="dxa"/>
          </w:tcPr>
          <w:p w:rsidR="008A1E02" w:rsidRPr="00361B86" w:rsidRDefault="008A1E02" w:rsidP="008A1E02">
            <w:pPr>
              <w:jc w:val="center"/>
              <w:rPr>
                <w:rFonts w:cstheme="minorHAnsi"/>
                <w:sz w:val="20"/>
                <w:szCs w:val="20"/>
              </w:rPr>
            </w:pPr>
            <w:r w:rsidRPr="00361B86">
              <w:rPr>
                <w:rFonts w:cstheme="minorHAnsi"/>
                <w:sz w:val="20"/>
                <w:szCs w:val="20"/>
              </w:rPr>
              <w:t># 4</w:t>
            </w:r>
          </w:p>
        </w:tc>
        <w:tc>
          <w:tcPr>
            <w:tcW w:w="1890" w:type="dxa"/>
          </w:tcPr>
          <w:p w:rsidR="008A1E02" w:rsidRPr="00361B86" w:rsidRDefault="008A1E02" w:rsidP="002765D0">
            <w:pPr>
              <w:rPr>
                <w:rFonts w:cstheme="minorHAnsi"/>
                <w:sz w:val="18"/>
                <w:szCs w:val="18"/>
              </w:rPr>
            </w:pPr>
            <w:r w:rsidRPr="00361B86">
              <w:rPr>
                <w:rFonts w:cstheme="minorHAnsi"/>
                <w:sz w:val="18"/>
                <w:szCs w:val="18"/>
              </w:rPr>
              <w:t>Clearer Pricing and Framing Information in Advertisements</w:t>
            </w:r>
          </w:p>
        </w:tc>
        <w:tc>
          <w:tcPr>
            <w:tcW w:w="1170" w:type="dxa"/>
          </w:tcPr>
          <w:p w:rsidR="00B10527" w:rsidRPr="00361B86" w:rsidRDefault="008A1E02" w:rsidP="00AC5F62">
            <w:pPr>
              <w:rPr>
                <w:rFonts w:cstheme="minorHAnsi"/>
                <w:b/>
                <w:sz w:val="18"/>
                <w:szCs w:val="18"/>
              </w:rPr>
            </w:pPr>
            <w:r w:rsidRPr="00361B86">
              <w:rPr>
                <w:rFonts w:cstheme="minorHAnsi"/>
                <w:b/>
                <w:sz w:val="18"/>
                <w:szCs w:val="18"/>
              </w:rPr>
              <w:t xml:space="preserve">2020 </w:t>
            </w:r>
          </w:p>
          <w:p w:rsidR="008A1E02" w:rsidRPr="00361B86" w:rsidRDefault="008A1E02" w:rsidP="00AC5F62">
            <w:pPr>
              <w:rPr>
                <w:rFonts w:cstheme="minorHAnsi"/>
                <w:sz w:val="18"/>
                <w:szCs w:val="18"/>
              </w:rPr>
            </w:pPr>
            <w:r w:rsidRPr="00361B86">
              <w:rPr>
                <w:rFonts w:cstheme="minorHAnsi"/>
                <w:b/>
                <w:sz w:val="18"/>
                <w:szCs w:val="18"/>
              </w:rPr>
              <w:t>December 18</w:t>
            </w:r>
          </w:p>
        </w:tc>
        <w:tc>
          <w:tcPr>
            <w:tcW w:w="5900" w:type="dxa"/>
          </w:tcPr>
          <w:p w:rsidR="008A1E02" w:rsidRPr="00361B86" w:rsidRDefault="00531EFB" w:rsidP="00287066">
            <w:pPr>
              <w:rPr>
                <w:rFonts w:cstheme="minorHAnsi"/>
                <w:sz w:val="18"/>
                <w:szCs w:val="18"/>
              </w:rPr>
            </w:pPr>
            <w:r w:rsidRPr="00361B86">
              <w:rPr>
                <w:rFonts w:cstheme="minorHAnsi"/>
                <w:sz w:val="18"/>
                <w:szCs w:val="18"/>
              </w:rPr>
              <w:t xml:space="preserve">Full disclosure is required. </w:t>
            </w:r>
            <w:r w:rsidR="008A1E02" w:rsidRPr="00361B86">
              <w:rPr>
                <w:rFonts w:cstheme="minorHAnsi"/>
                <w:sz w:val="18"/>
                <w:szCs w:val="18"/>
              </w:rPr>
              <w:t>Less likelihood of ‘hidden’</w:t>
            </w:r>
            <w:r w:rsidR="001B255D" w:rsidRPr="00361B86">
              <w:rPr>
                <w:rFonts w:cstheme="minorHAnsi"/>
                <w:sz w:val="18"/>
                <w:szCs w:val="18"/>
              </w:rPr>
              <w:t xml:space="preserve"> plan considerations or potentially misleading information in advertisements from telecoms providers</w:t>
            </w:r>
            <w:r w:rsidRPr="00361B86">
              <w:rPr>
                <w:rFonts w:cstheme="minorHAnsi"/>
                <w:sz w:val="18"/>
                <w:szCs w:val="18"/>
              </w:rPr>
              <w:t>.</w:t>
            </w:r>
            <w:r w:rsidR="00422C21" w:rsidRPr="00361B86">
              <w:rPr>
                <w:rFonts w:cstheme="minorHAnsi"/>
                <w:sz w:val="18"/>
                <w:szCs w:val="18"/>
              </w:rPr>
              <w:t xml:space="preserve"> All marketing promotions’ terms and conditions must be provided</w:t>
            </w:r>
            <w:r w:rsidR="00535209" w:rsidRPr="00361B86">
              <w:rPr>
                <w:rFonts w:cstheme="minorHAnsi"/>
                <w:sz w:val="18"/>
                <w:szCs w:val="18"/>
              </w:rPr>
              <w:t>. T</w:t>
            </w:r>
            <w:r w:rsidR="00422C21" w:rsidRPr="00361B86">
              <w:rPr>
                <w:rFonts w:cstheme="minorHAnsi"/>
                <w:sz w:val="18"/>
                <w:szCs w:val="18"/>
              </w:rPr>
              <w:t xml:space="preserve">he telecoms providers </w:t>
            </w:r>
            <w:r w:rsidR="00535209" w:rsidRPr="00361B86">
              <w:rPr>
                <w:rFonts w:cstheme="minorHAnsi"/>
                <w:sz w:val="18"/>
                <w:szCs w:val="18"/>
              </w:rPr>
              <w:t xml:space="preserve">must </w:t>
            </w:r>
            <w:r w:rsidR="00422C21" w:rsidRPr="00361B86">
              <w:rPr>
                <w:rFonts w:cstheme="minorHAnsi"/>
                <w:sz w:val="18"/>
                <w:szCs w:val="18"/>
              </w:rPr>
              <w:t>indicat</w:t>
            </w:r>
            <w:r w:rsidR="00535209" w:rsidRPr="00361B86">
              <w:rPr>
                <w:rFonts w:cstheme="minorHAnsi"/>
                <w:sz w:val="18"/>
                <w:szCs w:val="18"/>
              </w:rPr>
              <w:t>e</w:t>
            </w:r>
            <w:r w:rsidR="00422C21" w:rsidRPr="00361B86">
              <w:rPr>
                <w:rFonts w:cstheme="minorHAnsi"/>
                <w:sz w:val="18"/>
                <w:szCs w:val="18"/>
              </w:rPr>
              <w:t xml:space="preserve"> where to get free access to same.</w:t>
            </w:r>
          </w:p>
        </w:tc>
      </w:tr>
      <w:tr w:rsidR="00180028" w:rsidRPr="00B83FA4" w:rsidTr="00361B86">
        <w:tc>
          <w:tcPr>
            <w:tcW w:w="1530" w:type="dxa"/>
            <w:shd w:val="clear" w:color="auto" w:fill="003399"/>
          </w:tcPr>
          <w:p w:rsidR="00180028" w:rsidRPr="00361B86" w:rsidRDefault="00180028" w:rsidP="008A1E02">
            <w:pPr>
              <w:jc w:val="center"/>
              <w:rPr>
                <w:rFonts w:cstheme="minorHAnsi"/>
                <w:sz w:val="20"/>
                <w:szCs w:val="20"/>
              </w:rPr>
            </w:pPr>
          </w:p>
        </w:tc>
        <w:tc>
          <w:tcPr>
            <w:tcW w:w="1890" w:type="dxa"/>
            <w:shd w:val="clear" w:color="auto" w:fill="003399"/>
          </w:tcPr>
          <w:p w:rsidR="00180028" w:rsidRPr="00361B86" w:rsidRDefault="00180028" w:rsidP="002765D0">
            <w:pPr>
              <w:rPr>
                <w:rFonts w:cstheme="minorHAnsi"/>
                <w:sz w:val="20"/>
                <w:szCs w:val="20"/>
              </w:rPr>
            </w:pPr>
          </w:p>
        </w:tc>
        <w:tc>
          <w:tcPr>
            <w:tcW w:w="1170" w:type="dxa"/>
            <w:shd w:val="clear" w:color="auto" w:fill="003399"/>
          </w:tcPr>
          <w:p w:rsidR="00180028" w:rsidRPr="00361B86" w:rsidRDefault="00180028" w:rsidP="002765D0">
            <w:pPr>
              <w:rPr>
                <w:rFonts w:cstheme="minorHAnsi"/>
                <w:sz w:val="20"/>
                <w:szCs w:val="20"/>
              </w:rPr>
            </w:pPr>
          </w:p>
        </w:tc>
        <w:tc>
          <w:tcPr>
            <w:tcW w:w="5900" w:type="dxa"/>
            <w:shd w:val="clear" w:color="auto" w:fill="003399"/>
          </w:tcPr>
          <w:p w:rsidR="00180028" w:rsidRPr="00361B86" w:rsidRDefault="00180028" w:rsidP="002765D0">
            <w:pPr>
              <w:rPr>
                <w:rFonts w:cstheme="minorHAnsi"/>
                <w:sz w:val="20"/>
                <w:szCs w:val="20"/>
              </w:rPr>
            </w:pPr>
          </w:p>
        </w:tc>
      </w:tr>
      <w:tr w:rsidR="00180028" w:rsidRPr="00B83FA4" w:rsidTr="00361B86">
        <w:tc>
          <w:tcPr>
            <w:tcW w:w="1530" w:type="dxa"/>
            <w:shd w:val="clear" w:color="auto" w:fill="E4EEF8"/>
          </w:tcPr>
          <w:p w:rsidR="00180028" w:rsidRPr="00361B86" w:rsidRDefault="00AC5F62" w:rsidP="008A1E02">
            <w:pPr>
              <w:jc w:val="center"/>
              <w:rPr>
                <w:rFonts w:cstheme="minorHAnsi"/>
                <w:sz w:val="20"/>
                <w:szCs w:val="20"/>
              </w:rPr>
            </w:pPr>
            <w:r w:rsidRPr="00361B86">
              <w:rPr>
                <w:rFonts w:cstheme="minorHAnsi"/>
                <w:sz w:val="20"/>
                <w:szCs w:val="20"/>
              </w:rPr>
              <w:t>#5</w:t>
            </w:r>
          </w:p>
        </w:tc>
        <w:tc>
          <w:tcPr>
            <w:tcW w:w="1890" w:type="dxa"/>
            <w:shd w:val="clear" w:color="auto" w:fill="E4EEF8"/>
          </w:tcPr>
          <w:p w:rsidR="00180028" w:rsidRPr="00361B86" w:rsidRDefault="00B10527" w:rsidP="00481605">
            <w:pPr>
              <w:rPr>
                <w:rFonts w:cstheme="minorHAnsi"/>
                <w:sz w:val="18"/>
                <w:szCs w:val="18"/>
              </w:rPr>
            </w:pPr>
            <w:r w:rsidRPr="00361B86">
              <w:rPr>
                <w:rFonts w:cstheme="minorHAnsi"/>
                <w:sz w:val="18"/>
                <w:szCs w:val="18"/>
              </w:rPr>
              <w:t xml:space="preserve">Establishment of Financial Caps </w:t>
            </w:r>
            <w:r w:rsidR="00481605" w:rsidRPr="00361B86">
              <w:rPr>
                <w:rFonts w:cstheme="minorHAnsi"/>
                <w:sz w:val="18"/>
                <w:szCs w:val="18"/>
              </w:rPr>
              <w:t xml:space="preserve">           </w:t>
            </w:r>
            <w:r w:rsidR="00AB273D" w:rsidRPr="00361B86">
              <w:rPr>
                <w:rFonts w:cstheme="minorHAnsi"/>
                <w:sz w:val="18"/>
                <w:szCs w:val="18"/>
              </w:rPr>
              <w:t xml:space="preserve">(roaming </w:t>
            </w:r>
            <w:r w:rsidR="00287066" w:rsidRPr="00361B86">
              <w:rPr>
                <w:rFonts w:cstheme="minorHAnsi"/>
                <w:sz w:val="18"/>
                <w:szCs w:val="18"/>
              </w:rPr>
              <w:t>services</w:t>
            </w:r>
            <w:r w:rsidR="00AB273D" w:rsidRPr="00361B86">
              <w:rPr>
                <w:rFonts w:cstheme="minorHAnsi"/>
                <w:sz w:val="18"/>
                <w:szCs w:val="18"/>
              </w:rPr>
              <w:t>)</w:t>
            </w:r>
          </w:p>
        </w:tc>
        <w:tc>
          <w:tcPr>
            <w:tcW w:w="1170" w:type="dxa"/>
            <w:shd w:val="clear" w:color="auto" w:fill="E4EEF8"/>
          </w:tcPr>
          <w:p w:rsidR="00B10527" w:rsidRPr="00361B86" w:rsidRDefault="00180028" w:rsidP="00AC5F62">
            <w:pPr>
              <w:rPr>
                <w:rFonts w:cstheme="minorHAnsi"/>
                <w:b/>
                <w:sz w:val="18"/>
                <w:szCs w:val="18"/>
              </w:rPr>
            </w:pPr>
            <w:r w:rsidRPr="00361B86">
              <w:rPr>
                <w:rFonts w:cstheme="minorHAnsi"/>
                <w:b/>
                <w:sz w:val="18"/>
                <w:szCs w:val="18"/>
              </w:rPr>
              <w:t xml:space="preserve">2021 </w:t>
            </w:r>
          </w:p>
          <w:p w:rsidR="00180028" w:rsidRPr="00361B86" w:rsidRDefault="00180028" w:rsidP="00AC5F62">
            <w:pPr>
              <w:rPr>
                <w:rFonts w:cstheme="minorHAnsi"/>
                <w:sz w:val="18"/>
                <w:szCs w:val="18"/>
              </w:rPr>
            </w:pPr>
            <w:r w:rsidRPr="00361B86">
              <w:rPr>
                <w:rFonts w:cstheme="minorHAnsi"/>
                <w:b/>
                <w:sz w:val="18"/>
                <w:szCs w:val="18"/>
              </w:rPr>
              <w:t>December 18</w:t>
            </w:r>
          </w:p>
        </w:tc>
        <w:tc>
          <w:tcPr>
            <w:tcW w:w="5900" w:type="dxa"/>
            <w:shd w:val="clear" w:color="auto" w:fill="E4EEF8"/>
          </w:tcPr>
          <w:p w:rsidR="00180028" w:rsidRPr="00361B86" w:rsidRDefault="00B10527" w:rsidP="00287066">
            <w:pPr>
              <w:rPr>
                <w:rFonts w:cstheme="minorHAnsi"/>
                <w:sz w:val="18"/>
                <w:szCs w:val="18"/>
              </w:rPr>
            </w:pPr>
            <w:r w:rsidRPr="00361B86">
              <w:rPr>
                <w:rFonts w:cstheme="minorHAnsi"/>
                <w:sz w:val="18"/>
                <w:szCs w:val="18"/>
              </w:rPr>
              <w:t>Post-paid customers will be able to set financial caps (spending limits)</w:t>
            </w:r>
            <w:r w:rsidR="00287066" w:rsidRPr="00361B86">
              <w:rPr>
                <w:rFonts w:cstheme="minorHAnsi"/>
                <w:sz w:val="18"/>
                <w:szCs w:val="18"/>
              </w:rPr>
              <w:t xml:space="preserve"> on roaming services </w:t>
            </w:r>
            <w:r w:rsidRPr="00361B86">
              <w:rPr>
                <w:rFonts w:cstheme="minorHAnsi"/>
                <w:sz w:val="18"/>
                <w:szCs w:val="18"/>
              </w:rPr>
              <w:t xml:space="preserve">that </w:t>
            </w:r>
            <w:r w:rsidR="00AF5ACA" w:rsidRPr="00361B86">
              <w:rPr>
                <w:rFonts w:cstheme="minorHAnsi"/>
                <w:sz w:val="18"/>
                <w:szCs w:val="18"/>
              </w:rPr>
              <w:t>will enable them to better manage the expenses associated with the use of the service.</w:t>
            </w:r>
            <w:r w:rsidR="00AF5ACA" w:rsidRPr="00361B86" w:rsidDel="00AF5ACA">
              <w:rPr>
                <w:rFonts w:cstheme="minorHAnsi"/>
                <w:sz w:val="18"/>
                <w:szCs w:val="18"/>
              </w:rPr>
              <w:t xml:space="preserve"> </w:t>
            </w:r>
          </w:p>
        </w:tc>
      </w:tr>
    </w:tbl>
    <w:p w:rsidR="008A1E02" w:rsidRPr="00E14A81" w:rsidRDefault="008A1E02" w:rsidP="00AE1ACD">
      <w:pPr>
        <w:jc w:val="both"/>
        <w:rPr>
          <w:sz w:val="24"/>
          <w:szCs w:val="24"/>
        </w:rPr>
      </w:pPr>
    </w:p>
    <w:p w:rsidR="00CA35DE" w:rsidRPr="00376CF9" w:rsidRDefault="00CA35DE" w:rsidP="00E432D9">
      <w:pPr>
        <w:jc w:val="both"/>
        <w:rPr>
          <w:sz w:val="24"/>
          <w:szCs w:val="24"/>
        </w:rPr>
      </w:pPr>
    </w:p>
    <w:p w:rsidR="005A0515" w:rsidRPr="00AF7790" w:rsidRDefault="00AF7790" w:rsidP="00AF7790">
      <w:pPr>
        <w:jc w:val="both"/>
        <w:rPr>
          <w:b/>
          <w:sz w:val="24"/>
          <w:szCs w:val="24"/>
        </w:rPr>
      </w:pPr>
      <w:r w:rsidRPr="00376CF9">
        <w:rPr>
          <w:b/>
          <w:sz w:val="24"/>
          <w:szCs w:val="24"/>
        </w:rPr>
        <w:t xml:space="preserve">Contact: </w:t>
      </w:r>
      <w:r w:rsidR="00CA35DE" w:rsidRPr="00376CF9">
        <w:rPr>
          <w:b/>
          <w:sz w:val="24"/>
          <w:szCs w:val="24"/>
        </w:rPr>
        <w:t>Gordon Brown</w:t>
      </w:r>
      <w:r w:rsidRPr="00376CF9">
        <w:rPr>
          <w:b/>
          <w:sz w:val="24"/>
          <w:szCs w:val="24"/>
        </w:rPr>
        <w:t xml:space="preserve"> </w:t>
      </w:r>
      <w:r w:rsidR="00CA35DE" w:rsidRPr="00376CF9">
        <w:rPr>
          <w:b/>
          <w:sz w:val="24"/>
          <w:szCs w:val="24"/>
        </w:rPr>
        <w:t>–</w:t>
      </w:r>
      <w:r w:rsidRPr="00376CF9">
        <w:rPr>
          <w:b/>
          <w:sz w:val="24"/>
          <w:szCs w:val="24"/>
        </w:rPr>
        <w:t xml:space="preserve"> </w:t>
      </w:r>
      <w:r w:rsidR="00CA35DE" w:rsidRPr="00376CF9">
        <w:rPr>
          <w:b/>
          <w:sz w:val="24"/>
          <w:szCs w:val="24"/>
        </w:rPr>
        <w:t>Public Affairs Coordinator</w:t>
      </w:r>
      <w:r w:rsidRPr="00376CF9">
        <w:rPr>
          <w:b/>
          <w:sz w:val="24"/>
          <w:szCs w:val="24"/>
        </w:rPr>
        <w:t xml:space="preserve">: 876-968-6053 </w:t>
      </w:r>
      <w:r w:rsidR="00361B86">
        <w:rPr>
          <w:b/>
          <w:sz w:val="24"/>
          <w:szCs w:val="24"/>
        </w:rPr>
        <w:tab/>
      </w:r>
      <w:r w:rsidR="00361B86">
        <w:rPr>
          <w:b/>
          <w:sz w:val="24"/>
          <w:szCs w:val="24"/>
        </w:rPr>
        <w:tab/>
      </w:r>
      <w:r w:rsidR="00361B86">
        <w:rPr>
          <w:b/>
          <w:sz w:val="24"/>
          <w:szCs w:val="24"/>
        </w:rPr>
        <w:tab/>
      </w:r>
      <w:r w:rsidR="00481605">
        <w:rPr>
          <w:b/>
          <w:sz w:val="24"/>
          <w:szCs w:val="24"/>
        </w:rPr>
        <w:t>-30-</w:t>
      </w:r>
    </w:p>
    <w:sectPr w:rsidR="005A0515" w:rsidRPr="00AF7790" w:rsidSect="00081E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F0" w:rsidRDefault="006A4AF0" w:rsidP="00977642">
      <w:r>
        <w:separator/>
      </w:r>
    </w:p>
  </w:endnote>
  <w:endnote w:type="continuationSeparator" w:id="0">
    <w:p w:rsidR="006A4AF0" w:rsidRDefault="006A4AF0" w:rsidP="009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3056"/>
      <w:docPartObj>
        <w:docPartGallery w:val="Page Numbers (Bottom of Page)"/>
        <w:docPartUnique/>
      </w:docPartObj>
    </w:sdtPr>
    <w:sdtEndPr>
      <w:rPr>
        <w:noProof/>
      </w:rPr>
    </w:sdtEndPr>
    <w:sdtContent>
      <w:p w:rsidR="00AF7790" w:rsidRDefault="00AF7790">
        <w:pPr>
          <w:pStyle w:val="Footer"/>
          <w:jc w:val="right"/>
        </w:pPr>
        <w:r>
          <w:fldChar w:fldCharType="begin"/>
        </w:r>
        <w:r>
          <w:instrText xml:space="preserve"> PAGE   \* MERGEFORMAT </w:instrText>
        </w:r>
        <w:r>
          <w:fldChar w:fldCharType="separate"/>
        </w:r>
        <w:r w:rsidR="00F145C1">
          <w:rPr>
            <w:noProof/>
          </w:rPr>
          <w:t>2</w:t>
        </w:r>
        <w:r>
          <w:rPr>
            <w:noProof/>
          </w:rPr>
          <w:fldChar w:fldCharType="end"/>
        </w:r>
      </w:p>
    </w:sdtContent>
  </w:sdt>
  <w:p w:rsidR="00AF7790" w:rsidRDefault="00AF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F0" w:rsidRDefault="006A4AF0" w:rsidP="00977642">
      <w:r>
        <w:separator/>
      </w:r>
    </w:p>
  </w:footnote>
  <w:footnote w:type="continuationSeparator" w:id="0">
    <w:p w:rsidR="006A4AF0" w:rsidRDefault="006A4AF0" w:rsidP="00977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FDD"/>
    <w:multiLevelType w:val="hybridMultilevel"/>
    <w:tmpl w:val="792A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B4730"/>
    <w:multiLevelType w:val="hybridMultilevel"/>
    <w:tmpl w:val="853A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4711"/>
    <w:multiLevelType w:val="hybridMultilevel"/>
    <w:tmpl w:val="3634D3D6"/>
    <w:lvl w:ilvl="0" w:tplc="F9E68C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D1EB6"/>
    <w:multiLevelType w:val="hybridMultilevel"/>
    <w:tmpl w:val="DC5A023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60640DD"/>
    <w:multiLevelType w:val="hybridMultilevel"/>
    <w:tmpl w:val="5880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83310"/>
    <w:multiLevelType w:val="hybridMultilevel"/>
    <w:tmpl w:val="6604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170F1"/>
    <w:multiLevelType w:val="hybridMultilevel"/>
    <w:tmpl w:val="5EA68526"/>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7" w15:restartNumberingAfterBreak="0">
    <w:nsid w:val="56D33757"/>
    <w:multiLevelType w:val="hybridMultilevel"/>
    <w:tmpl w:val="AC1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036B7"/>
    <w:multiLevelType w:val="hybridMultilevel"/>
    <w:tmpl w:val="98BABC8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A7"/>
    <w:rsid w:val="00014D17"/>
    <w:rsid w:val="00015217"/>
    <w:rsid w:val="00015668"/>
    <w:rsid w:val="00017C46"/>
    <w:rsid w:val="00024EAC"/>
    <w:rsid w:val="00025A04"/>
    <w:rsid w:val="00025DF9"/>
    <w:rsid w:val="000413A0"/>
    <w:rsid w:val="00081E18"/>
    <w:rsid w:val="000B7803"/>
    <w:rsid w:val="000C5566"/>
    <w:rsid w:val="000E49B7"/>
    <w:rsid w:val="00101F9E"/>
    <w:rsid w:val="001233D9"/>
    <w:rsid w:val="00141CB4"/>
    <w:rsid w:val="0017576C"/>
    <w:rsid w:val="001764DF"/>
    <w:rsid w:val="00176B56"/>
    <w:rsid w:val="00180028"/>
    <w:rsid w:val="00182C73"/>
    <w:rsid w:val="001B255D"/>
    <w:rsid w:val="001C0D76"/>
    <w:rsid w:val="001D73CC"/>
    <w:rsid w:val="001E5093"/>
    <w:rsid w:val="001F49DC"/>
    <w:rsid w:val="0020049E"/>
    <w:rsid w:val="00235973"/>
    <w:rsid w:val="00245501"/>
    <w:rsid w:val="00254F77"/>
    <w:rsid w:val="00267C65"/>
    <w:rsid w:val="00287066"/>
    <w:rsid w:val="002914B2"/>
    <w:rsid w:val="00294A0B"/>
    <w:rsid w:val="00296D6A"/>
    <w:rsid w:val="002C4A6F"/>
    <w:rsid w:val="002D5B50"/>
    <w:rsid w:val="002E19A2"/>
    <w:rsid w:val="002F4176"/>
    <w:rsid w:val="003109FC"/>
    <w:rsid w:val="00313B4B"/>
    <w:rsid w:val="003200B6"/>
    <w:rsid w:val="00326275"/>
    <w:rsid w:val="00327843"/>
    <w:rsid w:val="00357461"/>
    <w:rsid w:val="00361B86"/>
    <w:rsid w:val="00366B23"/>
    <w:rsid w:val="00376CF9"/>
    <w:rsid w:val="00381928"/>
    <w:rsid w:val="003820F5"/>
    <w:rsid w:val="003A6EDD"/>
    <w:rsid w:val="003B2FFA"/>
    <w:rsid w:val="003D1CA7"/>
    <w:rsid w:val="00411A39"/>
    <w:rsid w:val="00422C21"/>
    <w:rsid w:val="00454DD3"/>
    <w:rsid w:val="004550AC"/>
    <w:rsid w:val="00461AD9"/>
    <w:rsid w:val="00481605"/>
    <w:rsid w:val="00482705"/>
    <w:rsid w:val="00487CDE"/>
    <w:rsid w:val="004A4AE9"/>
    <w:rsid w:val="004B2405"/>
    <w:rsid w:val="004C5EF4"/>
    <w:rsid w:val="005059C6"/>
    <w:rsid w:val="0050602E"/>
    <w:rsid w:val="00512880"/>
    <w:rsid w:val="00531EFB"/>
    <w:rsid w:val="00534948"/>
    <w:rsid w:val="00535209"/>
    <w:rsid w:val="005544BE"/>
    <w:rsid w:val="00567186"/>
    <w:rsid w:val="00570EC5"/>
    <w:rsid w:val="005929FA"/>
    <w:rsid w:val="005A0515"/>
    <w:rsid w:val="005B2E2B"/>
    <w:rsid w:val="005C2007"/>
    <w:rsid w:val="005D6B8A"/>
    <w:rsid w:val="006004F5"/>
    <w:rsid w:val="00600BA8"/>
    <w:rsid w:val="00614C63"/>
    <w:rsid w:val="00615E41"/>
    <w:rsid w:val="00621C40"/>
    <w:rsid w:val="00631C11"/>
    <w:rsid w:val="00652ACC"/>
    <w:rsid w:val="006A4AF0"/>
    <w:rsid w:val="006C2A3C"/>
    <w:rsid w:val="006C2B38"/>
    <w:rsid w:val="006D6C1F"/>
    <w:rsid w:val="007160A5"/>
    <w:rsid w:val="00736B33"/>
    <w:rsid w:val="00745E8F"/>
    <w:rsid w:val="00755433"/>
    <w:rsid w:val="00765E9A"/>
    <w:rsid w:val="007A5C08"/>
    <w:rsid w:val="007B1579"/>
    <w:rsid w:val="007B77DD"/>
    <w:rsid w:val="007E1C09"/>
    <w:rsid w:val="0080570B"/>
    <w:rsid w:val="00812089"/>
    <w:rsid w:val="00845B23"/>
    <w:rsid w:val="00865BDE"/>
    <w:rsid w:val="00896FC8"/>
    <w:rsid w:val="008A1169"/>
    <w:rsid w:val="008A1E02"/>
    <w:rsid w:val="008D4A5C"/>
    <w:rsid w:val="008D600E"/>
    <w:rsid w:val="00902409"/>
    <w:rsid w:val="00910CD2"/>
    <w:rsid w:val="00954737"/>
    <w:rsid w:val="00964931"/>
    <w:rsid w:val="0097580D"/>
    <w:rsid w:val="00977642"/>
    <w:rsid w:val="00982924"/>
    <w:rsid w:val="009961F4"/>
    <w:rsid w:val="00997FF5"/>
    <w:rsid w:val="009A3829"/>
    <w:rsid w:val="009B1050"/>
    <w:rsid w:val="009B4C49"/>
    <w:rsid w:val="00A050AE"/>
    <w:rsid w:val="00A113B6"/>
    <w:rsid w:val="00A13979"/>
    <w:rsid w:val="00A24966"/>
    <w:rsid w:val="00A32E40"/>
    <w:rsid w:val="00A72ABA"/>
    <w:rsid w:val="00A90B8A"/>
    <w:rsid w:val="00AB170F"/>
    <w:rsid w:val="00AB273D"/>
    <w:rsid w:val="00AC5F62"/>
    <w:rsid w:val="00AD28AA"/>
    <w:rsid w:val="00AE1ACD"/>
    <w:rsid w:val="00AE4E6D"/>
    <w:rsid w:val="00AE61CB"/>
    <w:rsid w:val="00AF2268"/>
    <w:rsid w:val="00AF5ACA"/>
    <w:rsid w:val="00AF7790"/>
    <w:rsid w:val="00B10527"/>
    <w:rsid w:val="00B1173B"/>
    <w:rsid w:val="00B14E10"/>
    <w:rsid w:val="00B17E4E"/>
    <w:rsid w:val="00B233B4"/>
    <w:rsid w:val="00B45154"/>
    <w:rsid w:val="00B62DE5"/>
    <w:rsid w:val="00B66D93"/>
    <w:rsid w:val="00B84ECB"/>
    <w:rsid w:val="00B91EEE"/>
    <w:rsid w:val="00BA7743"/>
    <w:rsid w:val="00BB4324"/>
    <w:rsid w:val="00C139E4"/>
    <w:rsid w:val="00C17229"/>
    <w:rsid w:val="00C1730A"/>
    <w:rsid w:val="00C21098"/>
    <w:rsid w:val="00C26F0E"/>
    <w:rsid w:val="00C66E7E"/>
    <w:rsid w:val="00CA35DE"/>
    <w:rsid w:val="00CC7E63"/>
    <w:rsid w:val="00CD1453"/>
    <w:rsid w:val="00CF7C38"/>
    <w:rsid w:val="00D4640F"/>
    <w:rsid w:val="00D54F47"/>
    <w:rsid w:val="00D83151"/>
    <w:rsid w:val="00DB5A2D"/>
    <w:rsid w:val="00DB77D2"/>
    <w:rsid w:val="00E14A81"/>
    <w:rsid w:val="00E20B86"/>
    <w:rsid w:val="00E23521"/>
    <w:rsid w:val="00E432D9"/>
    <w:rsid w:val="00E65BA6"/>
    <w:rsid w:val="00E7315B"/>
    <w:rsid w:val="00E73D9D"/>
    <w:rsid w:val="00EA38A7"/>
    <w:rsid w:val="00ED57CD"/>
    <w:rsid w:val="00EF1A7E"/>
    <w:rsid w:val="00F0255D"/>
    <w:rsid w:val="00F145C1"/>
    <w:rsid w:val="00F1484E"/>
    <w:rsid w:val="00F401BB"/>
    <w:rsid w:val="00F43E06"/>
    <w:rsid w:val="00F5449D"/>
    <w:rsid w:val="00F8459A"/>
    <w:rsid w:val="00F90C02"/>
    <w:rsid w:val="00F9143D"/>
    <w:rsid w:val="00F9332D"/>
    <w:rsid w:val="00FA5BDC"/>
    <w:rsid w:val="00FB0E31"/>
    <w:rsid w:val="00FC4598"/>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A532F0-74F4-48D5-9A2F-EDAFE59F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CA7"/>
    <w:rPr>
      <w:color w:val="0563C1"/>
      <w:u w:val="single"/>
    </w:rPr>
  </w:style>
  <w:style w:type="paragraph" w:styleId="ListParagraph">
    <w:name w:val="List Paragraph"/>
    <w:basedOn w:val="Normal"/>
    <w:uiPriority w:val="34"/>
    <w:qFormat/>
    <w:rsid w:val="003D1CA7"/>
    <w:pPr>
      <w:ind w:left="720"/>
    </w:pPr>
  </w:style>
  <w:style w:type="paragraph" w:styleId="Header">
    <w:name w:val="header"/>
    <w:basedOn w:val="Normal"/>
    <w:link w:val="HeaderChar"/>
    <w:uiPriority w:val="99"/>
    <w:unhideWhenUsed/>
    <w:rsid w:val="00977642"/>
    <w:pPr>
      <w:tabs>
        <w:tab w:val="center" w:pos="4680"/>
        <w:tab w:val="right" w:pos="9360"/>
      </w:tabs>
    </w:pPr>
  </w:style>
  <w:style w:type="character" w:customStyle="1" w:styleId="HeaderChar">
    <w:name w:val="Header Char"/>
    <w:basedOn w:val="DefaultParagraphFont"/>
    <w:link w:val="Header"/>
    <w:uiPriority w:val="99"/>
    <w:rsid w:val="00977642"/>
    <w:rPr>
      <w:rFonts w:ascii="Calibri" w:hAnsi="Calibri" w:cs="Calibri"/>
    </w:rPr>
  </w:style>
  <w:style w:type="paragraph" w:styleId="Footer">
    <w:name w:val="footer"/>
    <w:basedOn w:val="Normal"/>
    <w:link w:val="FooterChar"/>
    <w:uiPriority w:val="99"/>
    <w:unhideWhenUsed/>
    <w:rsid w:val="00977642"/>
    <w:pPr>
      <w:tabs>
        <w:tab w:val="center" w:pos="4680"/>
        <w:tab w:val="right" w:pos="9360"/>
      </w:tabs>
    </w:pPr>
  </w:style>
  <w:style w:type="character" w:customStyle="1" w:styleId="FooterChar">
    <w:name w:val="Footer Char"/>
    <w:basedOn w:val="DefaultParagraphFont"/>
    <w:link w:val="Footer"/>
    <w:uiPriority w:val="99"/>
    <w:rsid w:val="00977642"/>
    <w:rPr>
      <w:rFonts w:ascii="Calibri" w:hAnsi="Calibri" w:cs="Calibri"/>
    </w:rPr>
  </w:style>
  <w:style w:type="character" w:styleId="CommentReference">
    <w:name w:val="annotation reference"/>
    <w:basedOn w:val="DefaultParagraphFont"/>
    <w:uiPriority w:val="99"/>
    <w:semiHidden/>
    <w:unhideWhenUsed/>
    <w:rsid w:val="00AE4E6D"/>
    <w:rPr>
      <w:sz w:val="16"/>
      <w:szCs w:val="16"/>
    </w:rPr>
  </w:style>
  <w:style w:type="paragraph" w:styleId="CommentText">
    <w:name w:val="annotation text"/>
    <w:basedOn w:val="Normal"/>
    <w:link w:val="CommentTextChar"/>
    <w:uiPriority w:val="99"/>
    <w:semiHidden/>
    <w:unhideWhenUsed/>
    <w:rsid w:val="00AE4E6D"/>
    <w:rPr>
      <w:sz w:val="20"/>
      <w:szCs w:val="20"/>
    </w:rPr>
  </w:style>
  <w:style w:type="character" w:customStyle="1" w:styleId="CommentTextChar">
    <w:name w:val="Comment Text Char"/>
    <w:basedOn w:val="DefaultParagraphFont"/>
    <w:link w:val="CommentText"/>
    <w:uiPriority w:val="99"/>
    <w:semiHidden/>
    <w:rsid w:val="00AE4E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4E6D"/>
    <w:rPr>
      <w:b/>
      <w:bCs/>
    </w:rPr>
  </w:style>
  <w:style w:type="character" w:customStyle="1" w:styleId="CommentSubjectChar">
    <w:name w:val="Comment Subject Char"/>
    <w:basedOn w:val="CommentTextChar"/>
    <w:link w:val="CommentSubject"/>
    <w:uiPriority w:val="99"/>
    <w:semiHidden/>
    <w:rsid w:val="00AE4E6D"/>
    <w:rPr>
      <w:rFonts w:ascii="Calibri" w:hAnsi="Calibri" w:cs="Calibri"/>
      <w:b/>
      <w:bCs/>
      <w:sz w:val="20"/>
      <w:szCs w:val="20"/>
    </w:rPr>
  </w:style>
  <w:style w:type="paragraph" w:styleId="BalloonText">
    <w:name w:val="Balloon Text"/>
    <w:basedOn w:val="Normal"/>
    <w:link w:val="BalloonTextChar"/>
    <w:uiPriority w:val="99"/>
    <w:semiHidden/>
    <w:unhideWhenUsed/>
    <w:rsid w:val="00AE4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6D"/>
    <w:rPr>
      <w:rFonts w:ascii="Segoe UI" w:hAnsi="Segoe UI" w:cs="Segoe UI"/>
      <w:sz w:val="18"/>
      <w:szCs w:val="18"/>
    </w:rPr>
  </w:style>
  <w:style w:type="paragraph" w:styleId="Revision">
    <w:name w:val="Revision"/>
    <w:hidden/>
    <w:uiPriority w:val="99"/>
    <w:semiHidden/>
    <w:rsid w:val="00014D17"/>
    <w:pPr>
      <w:spacing w:after="0" w:line="240" w:lineRule="auto"/>
    </w:pPr>
    <w:rPr>
      <w:rFonts w:ascii="Calibri" w:hAnsi="Calibri" w:cs="Calibri"/>
    </w:rPr>
  </w:style>
  <w:style w:type="table" w:customStyle="1" w:styleId="TableGrid2">
    <w:name w:val="Table Grid2"/>
    <w:basedOn w:val="TableNormal"/>
    <w:next w:val="TableGrid"/>
    <w:uiPriority w:val="39"/>
    <w:rsid w:val="00AE1A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6D6A"/>
    <w:pPr>
      <w:spacing w:after="0" w:line="240" w:lineRule="auto"/>
    </w:pPr>
    <w:rPr>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org.j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Bennett Marsh</dc:creator>
  <cp:keywords/>
  <dc:description/>
  <cp:lastModifiedBy>Elizabeth Bennett Marsh </cp:lastModifiedBy>
  <cp:revision>2</cp:revision>
  <cp:lastPrinted>2020-09-01T14:46:00Z</cp:lastPrinted>
  <dcterms:created xsi:type="dcterms:W3CDTF">2020-10-16T22:03:00Z</dcterms:created>
  <dcterms:modified xsi:type="dcterms:W3CDTF">2020-10-16T22:03:00Z</dcterms:modified>
</cp:coreProperties>
</file>